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53295" w14:textId="77777777" w:rsidR="00FB0527" w:rsidRPr="00C44617" w:rsidRDefault="00FB0527" w:rsidP="00FB0527">
      <w:pPr>
        <w:rPr>
          <w:rFonts w:cs="Tahoma"/>
          <w:b/>
          <w:color w:val="00B0F0"/>
          <w:sz w:val="20"/>
          <w:szCs w:val="20"/>
        </w:rPr>
      </w:pPr>
      <w:r w:rsidRPr="00C44617">
        <w:rPr>
          <w:rFonts w:cs="Tahoma"/>
          <w:b/>
          <w:sz w:val="20"/>
          <w:szCs w:val="20"/>
        </w:rPr>
        <w:t xml:space="preserve">Position: </w:t>
      </w:r>
      <w:r>
        <w:rPr>
          <w:rFonts w:cs="Tahoma"/>
          <w:sz w:val="20"/>
          <w:szCs w:val="20"/>
        </w:rPr>
        <w:t>School Resource Officer</w:t>
      </w:r>
      <w:r w:rsidRPr="00C44617">
        <w:rPr>
          <w:rFonts w:cs="Tahoma"/>
          <w:b/>
          <w:sz w:val="20"/>
          <w:szCs w:val="20"/>
        </w:rPr>
        <w:t xml:space="preserve"> </w:t>
      </w:r>
    </w:p>
    <w:p w14:paraId="0266CFB4" w14:textId="346907A3" w:rsidR="00D16B24" w:rsidRDefault="00FB0527" w:rsidP="00FB0527">
      <w:pPr>
        <w:spacing w:after="0" w:line="240" w:lineRule="auto"/>
        <w:rPr>
          <w:rFonts w:cs="Tahoma"/>
          <w:sz w:val="20"/>
          <w:szCs w:val="20"/>
        </w:rPr>
      </w:pPr>
      <w:r w:rsidRPr="00C44617">
        <w:rPr>
          <w:rFonts w:cs="Tahoma"/>
          <w:b/>
          <w:sz w:val="20"/>
          <w:szCs w:val="20"/>
        </w:rPr>
        <w:t>Hours and Salary:</w:t>
      </w:r>
      <w:r w:rsidRPr="00C44617">
        <w:rPr>
          <w:rFonts w:cs="Tahoma"/>
          <w:sz w:val="20"/>
          <w:szCs w:val="20"/>
        </w:rPr>
        <w:t xml:space="preserve"> </w:t>
      </w:r>
      <w:r>
        <w:rPr>
          <w:rFonts w:cs="Tahoma"/>
          <w:sz w:val="20"/>
          <w:szCs w:val="20"/>
        </w:rPr>
        <w:t>37 hours per week</w:t>
      </w:r>
      <w:r w:rsidR="00D16B24">
        <w:rPr>
          <w:rFonts w:cs="Tahoma"/>
          <w:sz w:val="20"/>
          <w:szCs w:val="20"/>
        </w:rPr>
        <w:t>, term time (</w:t>
      </w:r>
      <w:r>
        <w:rPr>
          <w:rFonts w:cs="Tahoma"/>
          <w:sz w:val="20"/>
          <w:szCs w:val="20"/>
        </w:rPr>
        <w:t>39 weeks per year</w:t>
      </w:r>
      <w:r w:rsidR="00D16B24">
        <w:rPr>
          <w:rFonts w:cs="Tahoma"/>
          <w:sz w:val="20"/>
          <w:szCs w:val="20"/>
        </w:rPr>
        <w:t>)</w:t>
      </w:r>
    </w:p>
    <w:p w14:paraId="1D099159" w14:textId="37BDB5E4" w:rsidR="00FB0527" w:rsidRDefault="00D16B24" w:rsidP="00484F3B">
      <w:pPr>
        <w:spacing w:after="0" w:line="240" w:lineRule="auto"/>
        <w:ind w:left="1440"/>
        <w:rPr>
          <w:rFonts w:cs="Tahoma"/>
          <w:sz w:val="20"/>
          <w:szCs w:val="20"/>
        </w:rPr>
      </w:pPr>
      <w:r>
        <w:rPr>
          <w:rFonts w:cs="Tahoma"/>
          <w:sz w:val="20"/>
          <w:szCs w:val="20"/>
        </w:rPr>
        <w:t xml:space="preserve">      </w:t>
      </w:r>
      <w:r w:rsidR="00FB0527">
        <w:rPr>
          <w:rFonts w:cs="Tahoma"/>
          <w:sz w:val="20"/>
          <w:szCs w:val="20"/>
        </w:rPr>
        <w:t xml:space="preserve">NJC 7–12 </w:t>
      </w:r>
      <w:r>
        <w:rPr>
          <w:rFonts w:cs="Tahoma"/>
          <w:sz w:val="20"/>
          <w:szCs w:val="20"/>
        </w:rPr>
        <w:t xml:space="preserve">/ FTE </w:t>
      </w:r>
      <w:r w:rsidR="00FB0527">
        <w:rPr>
          <w:rFonts w:cs="Tahoma"/>
          <w:sz w:val="20"/>
          <w:szCs w:val="20"/>
        </w:rPr>
        <w:t xml:space="preserve">£26,403 to £28,598 </w:t>
      </w:r>
      <w:r>
        <w:rPr>
          <w:rFonts w:cs="Tahoma"/>
          <w:sz w:val="20"/>
          <w:szCs w:val="20"/>
        </w:rPr>
        <w:t xml:space="preserve">/ </w:t>
      </w:r>
      <w:r w:rsidR="00FB0527">
        <w:rPr>
          <w:rFonts w:cs="Tahoma"/>
          <w:sz w:val="20"/>
          <w:szCs w:val="20"/>
        </w:rPr>
        <w:t>Actual £23,153 to £25,628</w:t>
      </w:r>
    </w:p>
    <w:p w14:paraId="03F7C333" w14:textId="77777777" w:rsidR="00484F3B" w:rsidRDefault="00484F3B" w:rsidP="00484F3B">
      <w:pPr>
        <w:spacing w:after="0" w:line="240" w:lineRule="auto"/>
        <w:ind w:left="1440"/>
        <w:rPr>
          <w:rFonts w:cs="Tahoma"/>
          <w:sz w:val="20"/>
          <w:szCs w:val="20"/>
        </w:rPr>
      </w:pPr>
      <w:bookmarkStart w:id="0" w:name="_GoBack"/>
      <w:bookmarkEnd w:id="0"/>
    </w:p>
    <w:p w14:paraId="1319BD2E" w14:textId="77777777" w:rsidR="00FB0527" w:rsidRPr="00AB2955" w:rsidRDefault="00FB0527" w:rsidP="00FB0527">
      <w:pPr>
        <w:rPr>
          <w:rFonts w:cs="Tahoma"/>
          <w:sz w:val="20"/>
          <w:szCs w:val="20"/>
        </w:rPr>
      </w:pPr>
      <w:r w:rsidRPr="00C44617">
        <w:rPr>
          <w:rFonts w:cs="Tahoma"/>
          <w:b/>
          <w:sz w:val="20"/>
          <w:szCs w:val="20"/>
        </w:rPr>
        <w:t xml:space="preserve">School and Location: </w:t>
      </w:r>
      <w:r w:rsidRPr="00C44617">
        <w:rPr>
          <w:rFonts w:cs="Tahoma"/>
          <w:b/>
          <w:sz w:val="20"/>
          <w:szCs w:val="20"/>
        </w:rPr>
        <w:tab/>
      </w:r>
      <w:r>
        <w:rPr>
          <w:rFonts w:cs="Tahoma"/>
          <w:b/>
          <w:sz w:val="20"/>
          <w:szCs w:val="20"/>
        </w:rPr>
        <w:t xml:space="preserve"> </w:t>
      </w:r>
      <w:r w:rsidRPr="00AB2955">
        <w:rPr>
          <w:rFonts w:cs="Tahoma"/>
          <w:sz w:val="20"/>
          <w:szCs w:val="20"/>
        </w:rPr>
        <w:t xml:space="preserve">Bents Green School, </w:t>
      </w:r>
      <w:proofErr w:type="spellStart"/>
      <w:r w:rsidRPr="00AB2955">
        <w:rPr>
          <w:rFonts w:cs="Tahoma"/>
          <w:sz w:val="20"/>
          <w:szCs w:val="20"/>
        </w:rPr>
        <w:t>Ringinglow</w:t>
      </w:r>
      <w:proofErr w:type="spellEnd"/>
      <w:r w:rsidRPr="00AB2955">
        <w:rPr>
          <w:rFonts w:cs="Tahoma"/>
          <w:sz w:val="20"/>
          <w:szCs w:val="20"/>
        </w:rPr>
        <w:t xml:space="preserve"> Road Site</w:t>
      </w:r>
    </w:p>
    <w:p w14:paraId="5D7B49E0" w14:textId="77777777" w:rsidR="00FB0527" w:rsidRPr="00C44617" w:rsidRDefault="00FB0527" w:rsidP="00FB0527">
      <w:pPr>
        <w:rPr>
          <w:rFonts w:cs="Tahoma"/>
          <w:b/>
          <w:sz w:val="20"/>
          <w:szCs w:val="20"/>
        </w:rPr>
      </w:pPr>
      <w:r w:rsidRPr="00C44617">
        <w:rPr>
          <w:rFonts w:cs="Tahoma"/>
          <w:b/>
          <w:sz w:val="20"/>
          <w:szCs w:val="20"/>
        </w:rPr>
        <w:t xml:space="preserve">Contract type: </w:t>
      </w:r>
      <w:r>
        <w:rPr>
          <w:rFonts w:cs="Tahoma"/>
          <w:sz w:val="20"/>
          <w:szCs w:val="20"/>
        </w:rPr>
        <w:t>Permanent</w:t>
      </w:r>
      <w:r w:rsidRPr="00C44617">
        <w:rPr>
          <w:rFonts w:cs="Tahoma"/>
          <w:b/>
          <w:sz w:val="20"/>
          <w:szCs w:val="20"/>
        </w:rPr>
        <w:tab/>
        <w:t xml:space="preserve"> </w:t>
      </w:r>
    </w:p>
    <w:p w14:paraId="5DCE111B" w14:textId="4076150D" w:rsidR="00FB0527" w:rsidRPr="00C44617" w:rsidRDefault="00FB0527" w:rsidP="00FB0527">
      <w:pPr>
        <w:rPr>
          <w:rFonts w:cs="Tahoma"/>
          <w:b/>
          <w:sz w:val="20"/>
          <w:szCs w:val="20"/>
        </w:rPr>
      </w:pPr>
      <w:r w:rsidRPr="00C44617">
        <w:rPr>
          <w:rFonts w:cs="Tahoma"/>
          <w:b/>
          <w:sz w:val="20"/>
          <w:szCs w:val="20"/>
        </w:rPr>
        <w:t>Closing date:</w:t>
      </w:r>
      <w:r w:rsidRPr="00C44617">
        <w:rPr>
          <w:rFonts w:cs="Tahoma"/>
          <w:b/>
          <w:sz w:val="20"/>
          <w:szCs w:val="20"/>
        </w:rPr>
        <w:tab/>
      </w:r>
      <w:r w:rsidR="002D4982">
        <w:rPr>
          <w:rFonts w:cs="Tahoma"/>
          <w:sz w:val="20"/>
          <w:szCs w:val="20"/>
        </w:rPr>
        <w:t>4 January 2026</w:t>
      </w:r>
    </w:p>
    <w:p w14:paraId="6DA7590E" w14:textId="38B57F83" w:rsidR="00FB0527" w:rsidRPr="00AB2955" w:rsidRDefault="00FB0527" w:rsidP="00FB0527">
      <w:pPr>
        <w:rPr>
          <w:rFonts w:cs="Tahoma"/>
          <w:sz w:val="20"/>
          <w:szCs w:val="20"/>
        </w:rPr>
      </w:pPr>
      <w:r w:rsidRPr="00C44617">
        <w:rPr>
          <w:rFonts w:cs="Tahoma"/>
          <w:b/>
          <w:sz w:val="20"/>
          <w:szCs w:val="20"/>
        </w:rPr>
        <w:t xml:space="preserve">Interview date: </w:t>
      </w:r>
      <w:r w:rsidR="002D4982">
        <w:rPr>
          <w:rFonts w:cs="Tahoma"/>
          <w:sz w:val="20"/>
          <w:szCs w:val="20"/>
        </w:rPr>
        <w:t>1</w:t>
      </w:r>
      <w:r w:rsidR="00F3112C">
        <w:rPr>
          <w:rFonts w:cs="Tahoma"/>
          <w:sz w:val="20"/>
          <w:szCs w:val="20"/>
        </w:rPr>
        <w:t>3</w:t>
      </w:r>
      <w:r w:rsidR="002D4982">
        <w:rPr>
          <w:rFonts w:cs="Tahoma"/>
          <w:sz w:val="20"/>
          <w:szCs w:val="20"/>
        </w:rPr>
        <w:t xml:space="preserve"> January 2026</w:t>
      </w:r>
    </w:p>
    <w:p w14:paraId="21769A7D" w14:textId="306305B6" w:rsidR="00D11C19" w:rsidRPr="00C44617" w:rsidRDefault="009036E3" w:rsidP="000156A0">
      <w:pPr>
        <w:jc w:val="both"/>
        <w:rPr>
          <w:rFonts w:cs="Tahoma"/>
          <w:b/>
          <w:sz w:val="20"/>
          <w:szCs w:val="20"/>
        </w:rPr>
      </w:pPr>
      <w:r w:rsidRPr="00C44617">
        <w:rPr>
          <w:rFonts w:cs="Tahoma"/>
          <w:b/>
          <w:sz w:val="20"/>
          <w:szCs w:val="20"/>
        </w:rPr>
        <w:t>About our School</w:t>
      </w:r>
    </w:p>
    <w:p w14:paraId="5003F16F" w14:textId="77777777" w:rsidR="00FB0527" w:rsidRDefault="00FB0527" w:rsidP="00FB0527">
      <w:pPr>
        <w:pStyle w:val="Default"/>
        <w:rPr>
          <w:sz w:val="20"/>
          <w:szCs w:val="20"/>
        </w:rPr>
      </w:pPr>
      <w:r>
        <w:rPr>
          <w:sz w:val="20"/>
          <w:szCs w:val="20"/>
        </w:rPr>
        <w:t>At our core, we are a kind, resilient, and patient team who believe that no two days are the same when working with young people.  Guided by the principle that behaviour is communication, we provide a trauma-informed, student-centred approach that recognises and responds to the complex needs of every learner.</w:t>
      </w:r>
    </w:p>
    <w:p w14:paraId="42521A79" w14:textId="77777777" w:rsidR="00FB0527" w:rsidRDefault="00FB0527" w:rsidP="00FB0527">
      <w:pPr>
        <w:pStyle w:val="Default"/>
        <w:rPr>
          <w:sz w:val="20"/>
          <w:szCs w:val="20"/>
        </w:rPr>
      </w:pPr>
    </w:p>
    <w:p w14:paraId="62CE640E" w14:textId="77777777" w:rsidR="00FB0527" w:rsidRDefault="00FB0527" w:rsidP="00FB0527">
      <w:pPr>
        <w:pStyle w:val="Default"/>
        <w:rPr>
          <w:sz w:val="20"/>
          <w:szCs w:val="20"/>
        </w:rPr>
      </w:pPr>
      <w:r>
        <w:rPr>
          <w:sz w:val="20"/>
          <w:szCs w:val="20"/>
        </w:rPr>
        <w:t>We are committed to inclusion and practice unconditional positive regard, ensuring each student feels valued, respected, and safe.  Through a culture of nurture and adaptability, we create learning environments where trust can grow and progress can be made.</w:t>
      </w:r>
    </w:p>
    <w:p w14:paraId="22E14D98" w14:textId="77777777" w:rsidR="00FB0527" w:rsidRDefault="00FB0527" w:rsidP="00FB0527">
      <w:pPr>
        <w:pStyle w:val="Default"/>
        <w:rPr>
          <w:sz w:val="20"/>
          <w:szCs w:val="20"/>
        </w:rPr>
      </w:pPr>
    </w:p>
    <w:p w14:paraId="386A9843" w14:textId="77777777" w:rsidR="00FB0527" w:rsidRDefault="00FB0527" w:rsidP="00FB0527">
      <w:pPr>
        <w:pStyle w:val="Default"/>
        <w:rPr>
          <w:sz w:val="20"/>
          <w:szCs w:val="20"/>
        </w:rPr>
      </w:pPr>
      <w:r>
        <w:rPr>
          <w:sz w:val="20"/>
          <w:szCs w:val="20"/>
        </w:rPr>
        <w:t>As team players, we are reliable and collaborative, working together to deliver consistent support that leads to improved student outcomes.  We celebrate the small wins, and understand that every journey is unique, and we adapt our approach to meet students where they are, empowering them to achieve their full potential.</w:t>
      </w:r>
    </w:p>
    <w:p w14:paraId="4F5D1D92" w14:textId="77777777" w:rsidR="00F9377E" w:rsidRPr="00C44617" w:rsidRDefault="00F9377E" w:rsidP="000156A0">
      <w:pPr>
        <w:pStyle w:val="Default"/>
        <w:jc w:val="both"/>
        <w:rPr>
          <w:b/>
          <w:sz w:val="20"/>
          <w:szCs w:val="20"/>
        </w:rPr>
      </w:pPr>
    </w:p>
    <w:p w14:paraId="424456E9" w14:textId="77777777" w:rsidR="00FE470C" w:rsidRPr="00C44617" w:rsidRDefault="00FE470C" w:rsidP="000156A0">
      <w:pPr>
        <w:pStyle w:val="Default"/>
        <w:jc w:val="both"/>
        <w:rPr>
          <w:b/>
          <w:sz w:val="20"/>
          <w:szCs w:val="20"/>
        </w:rPr>
      </w:pPr>
      <w:r w:rsidRPr="00C44617">
        <w:rPr>
          <w:b/>
          <w:sz w:val="20"/>
          <w:szCs w:val="20"/>
        </w:rPr>
        <w:t>About the Trust</w:t>
      </w:r>
    </w:p>
    <w:p w14:paraId="52C6FF8F" w14:textId="77777777" w:rsidR="00FE470C" w:rsidRPr="00C44617" w:rsidRDefault="00FE470C" w:rsidP="000156A0">
      <w:pPr>
        <w:pStyle w:val="Default"/>
        <w:jc w:val="both"/>
        <w:rPr>
          <w:sz w:val="20"/>
          <w:szCs w:val="20"/>
        </w:rPr>
      </w:pPr>
      <w:r w:rsidRPr="00C44617">
        <w:rPr>
          <w:sz w:val="20"/>
          <w:szCs w:val="20"/>
        </w:rPr>
        <w:t xml:space="preserve"> </w:t>
      </w:r>
    </w:p>
    <w:p w14:paraId="618D9B00" w14:textId="6C46FA57" w:rsidR="003642D8" w:rsidRPr="00C44617" w:rsidRDefault="00E919B7" w:rsidP="000156A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sidRPr="00750936">
        <w:rPr>
          <w:sz w:val="20"/>
          <w:szCs w:val="20"/>
        </w:rPr>
        <w:t xml:space="preserve">with </w:t>
      </w:r>
      <w:r w:rsidR="00750936" w:rsidRPr="00750936">
        <w:rPr>
          <w:sz w:val="20"/>
          <w:szCs w:val="20"/>
        </w:rPr>
        <w:t>19</w:t>
      </w:r>
      <w:r w:rsidR="00672661" w:rsidRPr="00750936">
        <w:rPr>
          <w:sz w:val="20"/>
          <w:szCs w:val="20"/>
        </w:rPr>
        <w:t xml:space="preserve"> </w:t>
      </w:r>
      <w:r w:rsidR="00BF77CC" w:rsidRPr="00750936">
        <w:rPr>
          <w:sz w:val="20"/>
          <w:szCs w:val="20"/>
        </w:rPr>
        <w:t>unique SEND</w:t>
      </w:r>
      <w:r w:rsidR="00BF77CC">
        <w:rPr>
          <w:sz w:val="20"/>
          <w:szCs w:val="20"/>
        </w:rPr>
        <w:t xml:space="preserve"> and mainstream </w:t>
      </w:r>
      <w:r w:rsidR="00672661">
        <w:rPr>
          <w:sz w:val="20"/>
          <w:szCs w:val="20"/>
        </w:rPr>
        <w:t xml:space="preserve">academies. </w:t>
      </w:r>
    </w:p>
    <w:p w14:paraId="50074AAC" w14:textId="77777777" w:rsidR="001274C7" w:rsidRDefault="001274C7" w:rsidP="000156A0">
      <w:pPr>
        <w:pStyle w:val="Default"/>
        <w:spacing w:after="21"/>
        <w:jc w:val="both"/>
        <w:rPr>
          <w:sz w:val="20"/>
          <w:szCs w:val="20"/>
        </w:rPr>
      </w:pPr>
    </w:p>
    <w:p w14:paraId="560F6FE7" w14:textId="03ED851B" w:rsidR="00553610" w:rsidRDefault="00672661" w:rsidP="000156A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156A0">
      <w:pPr>
        <w:pStyle w:val="Default"/>
        <w:spacing w:after="21"/>
        <w:jc w:val="both"/>
        <w:rPr>
          <w:sz w:val="20"/>
          <w:szCs w:val="20"/>
        </w:rPr>
      </w:pPr>
    </w:p>
    <w:p w14:paraId="14418295" w14:textId="5AB27123" w:rsidR="008C6F1C" w:rsidRPr="00C44617" w:rsidRDefault="008C6F1C" w:rsidP="000156A0">
      <w:pPr>
        <w:pStyle w:val="Default"/>
        <w:jc w:val="both"/>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00620C7B" w:rsidRPr="00750936">
        <w:rPr>
          <w:sz w:val="20"/>
          <w:szCs w:val="20"/>
        </w:rPr>
        <w:t xml:space="preserve"> and </w:t>
      </w:r>
      <w:hyperlink r:id="rId12" w:history="1">
        <w:r w:rsidR="00620C7B" w:rsidRPr="00750936">
          <w:rPr>
            <w:rStyle w:val="Hyperlink"/>
            <w:sz w:val="20"/>
            <w:szCs w:val="20"/>
          </w:rPr>
          <w:t>workforce engagement statement</w:t>
        </w:r>
      </w:hyperlink>
      <w:r w:rsidR="00620C7B" w:rsidRPr="00750936">
        <w:rPr>
          <w:sz w:val="20"/>
          <w:szCs w:val="20"/>
        </w:rPr>
        <w:t xml:space="preserve"> </w:t>
      </w:r>
      <w:r w:rsidRPr="00750936">
        <w:rPr>
          <w:sz w:val="20"/>
          <w:szCs w:val="20"/>
        </w:rPr>
        <w:t>for further information.</w:t>
      </w:r>
      <w:r w:rsidRPr="00C44617">
        <w:rPr>
          <w:sz w:val="20"/>
          <w:szCs w:val="20"/>
        </w:rPr>
        <w:tab/>
        <w:t xml:space="preserve"> </w:t>
      </w:r>
    </w:p>
    <w:p w14:paraId="71CC6A8A" w14:textId="77777777" w:rsidR="00FE470C" w:rsidRPr="00C44617" w:rsidRDefault="00FE470C" w:rsidP="000156A0">
      <w:pPr>
        <w:pStyle w:val="Default"/>
        <w:jc w:val="both"/>
        <w:rPr>
          <w:sz w:val="20"/>
          <w:szCs w:val="20"/>
        </w:rPr>
      </w:pPr>
    </w:p>
    <w:p w14:paraId="547C4665" w14:textId="77777777" w:rsidR="00FB0527" w:rsidRPr="00C44617" w:rsidRDefault="00FB0527" w:rsidP="00FB0527">
      <w:pPr>
        <w:pStyle w:val="Default"/>
        <w:rPr>
          <w:b/>
          <w:sz w:val="20"/>
          <w:szCs w:val="20"/>
        </w:rPr>
      </w:pPr>
      <w:r w:rsidRPr="00C44617">
        <w:rPr>
          <w:b/>
          <w:sz w:val="20"/>
          <w:szCs w:val="20"/>
        </w:rPr>
        <w:t>Our Opportunity</w:t>
      </w:r>
    </w:p>
    <w:p w14:paraId="3EA5709A" w14:textId="77777777" w:rsidR="00FB0527" w:rsidRPr="00C44617" w:rsidRDefault="00FB0527" w:rsidP="00FB0527">
      <w:pPr>
        <w:pStyle w:val="NormalWeb"/>
        <w:rPr>
          <w:rFonts w:ascii="Tahoma" w:hAnsi="Tahoma" w:cs="Tahoma"/>
          <w:color w:val="000000"/>
          <w:sz w:val="20"/>
          <w:szCs w:val="20"/>
        </w:rPr>
      </w:pPr>
      <w:r w:rsidRPr="00C44617">
        <w:rPr>
          <w:rFonts w:ascii="Tahoma" w:hAnsi="Tahoma" w:cs="Tahoma"/>
          <w:color w:val="000000"/>
          <w:sz w:val="20"/>
          <w:szCs w:val="20"/>
        </w:rPr>
        <w:t>We are seeking to appoint highly motivated, enthusiastic, hardworking and flexible</w:t>
      </w:r>
      <w:r>
        <w:rPr>
          <w:rFonts w:ascii="Tahoma" w:hAnsi="Tahoma" w:cs="Tahoma"/>
          <w:color w:val="000000"/>
          <w:sz w:val="20"/>
          <w:szCs w:val="20"/>
        </w:rPr>
        <w:t xml:space="preserve"> School Resource Officer, </w:t>
      </w:r>
      <w:r w:rsidRPr="00C44617">
        <w:rPr>
          <w:rFonts w:ascii="Tahoma" w:hAnsi="Tahoma" w:cs="Tahoma"/>
          <w:color w:val="000000"/>
          <w:sz w:val="20"/>
          <w:szCs w:val="20"/>
        </w:rPr>
        <w:t>to join a team of dedicated staff who are committed to providing an excellent learning environment and become part of a successful team in a busy working environment.</w:t>
      </w:r>
    </w:p>
    <w:p w14:paraId="6BDD8A9A" w14:textId="77777777" w:rsidR="00FB0527" w:rsidRPr="00B44081" w:rsidRDefault="00FB0527" w:rsidP="00FB0527">
      <w:pPr>
        <w:pStyle w:val="Default"/>
        <w:rPr>
          <w:color w:val="auto"/>
          <w:sz w:val="20"/>
          <w:szCs w:val="20"/>
          <w:shd w:val="clear" w:color="auto" w:fill="FFFFFF"/>
        </w:rPr>
      </w:pPr>
      <w:r w:rsidRPr="00B44081">
        <w:rPr>
          <w:color w:val="auto"/>
          <w:sz w:val="20"/>
          <w:szCs w:val="20"/>
          <w:shd w:val="clear" w:color="auto" w:fill="FFFFFF"/>
        </w:rPr>
        <w:t>Whether you are experienced and have worked within a mainstream or specialist education setting, or someone who has exceptional vocational skills and a real drive to make a difference in children’s lives, you must be able to provide our children with aspirations for their futures along with promoting a positive culture in everything you do.</w:t>
      </w:r>
    </w:p>
    <w:p w14:paraId="2D1B1ACD" w14:textId="77777777" w:rsidR="00FB0527" w:rsidRPr="00B44081" w:rsidRDefault="00FB0527" w:rsidP="00FB0527">
      <w:pPr>
        <w:pStyle w:val="NormalWeb"/>
        <w:rPr>
          <w:rFonts w:ascii="Tahoma" w:hAnsi="Tahoma" w:cs="Tahoma"/>
          <w:sz w:val="20"/>
          <w:szCs w:val="20"/>
        </w:rPr>
      </w:pPr>
      <w:r w:rsidRPr="00B44081">
        <w:rPr>
          <w:rFonts w:ascii="Tahoma" w:hAnsi="Tahoma" w:cs="Tahoma"/>
          <w:sz w:val="20"/>
          <w:szCs w:val="20"/>
        </w:rPr>
        <w:lastRenderedPageBreak/>
        <w:t xml:space="preserve">Knowledge of SEN will be advantageous and you must </w:t>
      </w:r>
      <w:r w:rsidRPr="00B44081">
        <w:rPr>
          <w:rFonts w:ascii="Tahoma" w:hAnsi="Tahoma" w:cs="Tahoma"/>
          <w:color w:val="000000"/>
          <w:sz w:val="20"/>
          <w:szCs w:val="20"/>
        </w:rPr>
        <w:t xml:space="preserve">be able to respond to the emotional, social and mental health needs of our children and young people. </w:t>
      </w:r>
    </w:p>
    <w:p w14:paraId="03DFF0D6" w14:textId="77777777" w:rsidR="00FB0527" w:rsidRDefault="00FB0527" w:rsidP="00FB0527">
      <w:pPr>
        <w:pStyle w:val="NormalWeb"/>
        <w:rPr>
          <w:rFonts w:ascii="Tahoma" w:hAnsi="Tahoma" w:cs="Tahoma"/>
          <w:sz w:val="20"/>
          <w:szCs w:val="20"/>
        </w:rPr>
      </w:pPr>
      <w:r w:rsidRPr="00B44081">
        <w:rPr>
          <w:rFonts w:ascii="Tahoma" w:hAnsi="Tahoma" w:cs="Tahoma"/>
          <w:color w:val="000000"/>
          <w:sz w:val="20"/>
          <w:szCs w:val="20"/>
        </w:rPr>
        <w:t xml:space="preserve">You will be working as part of a team supporting </w:t>
      </w:r>
      <w:r>
        <w:rPr>
          <w:rFonts w:ascii="Tahoma" w:hAnsi="Tahoma" w:cs="Tahoma"/>
          <w:color w:val="000000"/>
          <w:sz w:val="20"/>
          <w:szCs w:val="20"/>
        </w:rPr>
        <w:t>the school</w:t>
      </w:r>
      <w:r w:rsidRPr="00B44081">
        <w:rPr>
          <w:rFonts w:ascii="Tahoma" w:hAnsi="Tahoma" w:cs="Tahoma"/>
          <w:color w:val="000000"/>
          <w:sz w:val="20"/>
          <w:szCs w:val="20"/>
        </w:rPr>
        <w:t>. You will be part of a committed staff team who are motivated every day by improving the life chances of our children and young people.</w:t>
      </w:r>
      <w:r w:rsidRPr="00C44617">
        <w:rPr>
          <w:rFonts w:ascii="Tahoma" w:hAnsi="Tahoma" w:cs="Tahoma"/>
          <w:sz w:val="20"/>
          <w:szCs w:val="20"/>
        </w:rPr>
        <w:t xml:space="preserve">   </w:t>
      </w:r>
    </w:p>
    <w:p w14:paraId="4126E45C" w14:textId="77777777" w:rsidR="00FB0527" w:rsidRDefault="00FB0527" w:rsidP="00FB0527">
      <w:pPr>
        <w:pStyle w:val="NormalWeb"/>
        <w:rPr>
          <w:rFonts w:ascii="Tahoma" w:hAnsi="Tahoma" w:cs="Tahoma"/>
          <w:b/>
          <w:color w:val="000000"/>
          <w:sz w:val="20"/>
          <w:szCs w:val="20"/>
        </w:rPr>
      </w:pPr>
      <w:r>
        <w:rPr>
          <w:rFonts w:ascii="Tahoma" w:hAnsi="Tahoma" w:cs="Tahoma"/>
          <w:b/>
          <w:color w:val="000000"/>
          <w:sz w:val="20"/>
          <w:szCs w:val="20"/>
        </w:rPr>
        <w:t>The Role</w:t>
      </w:r>
    </w:p>
    <w:p w14:paraId="0C13741E" w14:textId="77777777" w:rsidR="00FB0527" w:rsidRDefault="00FB0527" w:rsidP="00FB0527">
      <w:pPr>
        <w:pStyle w:val="NormalWeb"/>
        <w:rPr>
          <w:rFonts w:ascii="Tahoma" w:hAnsi="Tahoma" w:cs="Tahoma"/>
          <w:b/>
          <w:color w:val="000000"/>
          <w:sz w:val="20"/>
          <w:szCs w:val="20"/>
        </w:rPr>
      </w:pPr>
      <w:r>
        <w:rPr>
          <w:rFonts w:ascii="Tahoma" w:hAnsi="Tahoma" w:cs="Tahoma"/>
          <w:b/>
          <w:color w:val="000000"/>
          <w:sz w:val="20"/>
          <w:szCs w:val="20"/>
        </w:rPr>
        <w:t>Key focus areas:</w:t>
      </w:r>
    </w:p>
    <w:p w14:paraId="615A5C71" w14:textId="77777777" w:rsidR="00FB0527" w:rsidRPr="00C65244" w:rsidRDefault="00FB0527" w:rsidP="00FB0527">
      <w:pPr>
        <w:pStyle w:val="NormalWeb"/>
        <w:numPr>
          <w:ilvl w:val="0"/>
          <w:numId w:val="25"/>
        </w:numPr>
        <w:spacing w:before="0" w:beforeAutospacing="0" w:after="0" w:afterAutospacing="0"/>
        <w:rPr>
          <w:rFonts w:ascii="Tahoma" w:hAnsi="Tahoma" w:cs="Tahoma"/>
          <w:bCs/>
          <w:color w:val="000000"/>
          <w:sz w:val="20"/>
          <w:szCs w:val="20"/>
        </w:rPr>
      </w:pPr>
      <w:r w:rsidRPr="00C65244">
        <w:rPr>
          <w:rFonts w:ascii="Tahoma" w:hAnsi="Tahoma" w:cs="Tahoma"/>
          <w:bCs/>
          <w:color w:val="000000"/>
          <w:sz w:val="20"/>
          <w:szCs w:val="20"/>
        </w:rPr>
        <w:t>Support the effective delivery of day-to-day administrative tasks across key school business functions</w:t>
      </w:r>
    </w:p>
    <w:p w14:paraId="62994812" w14:textId="77777777" w:rsidR="00FB0527" w:rsidRPr="00C65244" w:rsidRDefault="00FB0527" w:rsidP="00FB0527">
      <w:pPr>
        <w:pStyle w:val="NormalWeb"/>
        <w:numPr>
          <w:ilvl w:val="0"/>
          <w:numId w:val="25"/>
        </w:numPr>
        <w:spacing w:before="0" w:beforeAutospacing="0" w:after="0" w:afterAutospacing="0"/>
        <w:rPr>
          <w:rFonts w:ascii="Tahoma" w:hAnsi="Tahoma" w:cs="Tahoma"/>
          <w:bCs/>
          <w:color w:val="000000"/>
          <w:sz w:val="20"/>
          <w:szCs w:val="20"/>
        </w:rPr>
      </w:pPr>
      <w:r w:rsidRPr="00C65244">
        <w:rPr>
          <w:rFonts w:ascii="Tahoma" w:hAnsi="Tahoma" w:cs="Tahoma"/>
          <w:bCs/>
          <w:color w:val="000000"/>
          <w:sz w:val="20"/>
          <w:szCs w:val="20"/>
        </w:rPr>
        <w:t>Maintain accurate records and systems in line with Trust and school procedures</w:t>
      </w:r>
    </w:p>
    <w:p w14:paraId="2D6EBF65" w14:textId="77777777" w:rsidR="00FB0527" w:rsidRPr="00C65244" w:rsidRDefault="00FB0527" w:rsidP="00FB0527">
      <w:pPr>
        <w:pStyle w:val="NormalWeb"/>
        <w:numPr>
          <w:ilvl w:val="0"/>
          <w:numId w:val="25"/>
        </w:numPr>
        <w:spacing w:before="0" w:beforeAutospacing="0" w:after="0" w:afterAutospacing="0"/>
        <w:rPr>
          <w:rFonts w:ascii="Tahoma" w:hAnsi="Tahoma" w:cs="Tahoma"/>
          <w:bCs/>
          <w:color w:val="000000"/>
          <w:sz w:val="20"/>
          <w:szCs w:val="20"/>
        </w:rPr>
      </w:pPr>
      <w:r w:rsidRPr="00C65244">
        <w:rPr>
          <w:rFonts w:ascii="Tahoma" w:hAnsi="Tahoma" w:cs="Tahoma"/>
          <w:bCs/>
          <w:color w:val="000000"/>
          <w:sz w:val="20"/>
          <w:szCs w:val="20"/>
        </w:rPr>
        <w:t>Assist with the preparation of documents, correspondence, and internal reports</w:t>
      </w:r>
      <w:r>
        <w:rPr>
          <w:rFonts w:ascii="Tahoma" w:hAnsi="Tahoma" w:cs="Tahoma"/>
          <w:bCs/>
          <w:color w:val="000000"/>
          <w:sz w:val="20"/>
          <w:szCs w:val="20"/>
        </w:rPr>
        <w:t xml:space="preserve">. </w:t>
      </w:r>
    </w:p>
    <w:p w14:paraId="0CB14BE7" w14:textId="77777777" w:rsidR="00FB0527" w:rsidRPr="00C65244" w:rsidRDefault="00FB0527" w:rsidP="00FB0527">
      <w:pPr>
        <w:pStyle w:val="NormalWeb"/>
        <w:numPr>
          <w:ilvl w:val="0"/>
          <w:numId w:val="25"/>
        </w:numPr>
        <w:spacing w:before="0" w:beforeAutospacing="0" w:after="0" w:afterAutospacing="0"/>
        <w:rPr>
          <w:rFonts w:ascii="Tahoma" w:hAnsi="Tahoma" w:cs="Tahoma"/>
          <w:bCs/>
          <w:color w:val="000000"/>
          <w:sz w:val="20"/>
          <w:szCs w:val="20"/>
        </w:rPr>
      </w:pPr>
      <w:r w:rsidRPr="00C65244">
        <w:rPr>
          <w:rFonts w:ascii="Tahoma" w:hAnsi="Tahoma" w:cs="Tahoma"/>
          <w:bCs/>
          <w:color w:val="000000"/>
          <w:sz w:val="20"/>
          <w:szCs w:val="20"/>
        </w:rPr>
        <w:t>Draft and format clear, professional letters, emails, and documents, ensuring accuracy and a high standard of presentation</w:t>
      </w:r>
    </w:p>
    <w:p w14:paraId="08B997F7" w14:textId="77777777" w:rsidR="00FB0527" w:rsidRPr="00C65244" w:rsidRDefault="00FB0527" w:rsidP="00FB0527">
      <w:pPr>
        <w:pStyle w:val="NormalWeb"/>
        <w:numPr>
          <w:ilvl w:val="0"/>
          <w:numId w:val="25"/>
        </w:numPr>
        <w:spacing w:before="0" w:beforeAutospacing="0" w:after="0" w:afterAutospacing="0"/>
        <w:rPr>
          <w:rFonts w:ascii="Tahoma" w:hAnsi="Tahoma" w:cs="Tahoma"/>
          <w:bCs/>
          <w:color w:val="000000"/>
          <w:sz w:val="20"/>
          <w:szCs w:val="20"/>
        </w:rPr>
      </w:pPr>
      <w:r w:rsidRPr="00C65244">
        <w:rPr>
          <w:rFonts w:ascii="Tahoma" w:hAnsi="Tahoma" w:cs="Tahoma"/>
          <w:bCs/>
          <w:color w:val="000000"/>
          <w:sz w:val="20"/>
          <w:szCs w:val="20"/>
        </w:rPr>
        <w:t>Respond professionally to routine queries from staff, parents, and visitors</w:t>
      </w:r>
    </w:p>
    <w:p w14:paraId="5307974D" w14:textId="77777777" w:rsidR="00FB0527" w:rsidRPr="00C65244" w:rsidRDefault="00FB0527" w:rsidP="00FB0527">
      <w:pPr>
        <w:pStyle w:val="NormalWeb"/>
        <w:numPr>
          <w:ilvl w:val="0"/>
          <w:numId w:val="25"/>
        </w:numPr>
        <w:spacing w:before="0" w:beforeAutospacing="0" w:after="0" w:afterAutospacing="0"/>
        <w:rPr>
          <w:rFonts w:ascii="Tahoma" w:hAnsi="Tahoma" w:cs="Tahoma"/>
          <w:bCs/>
          <w:color w:val="000000"/>
          <w:sz w:val="20"/>
          <w:szCs w:val="20"/>
        </w:rPr>
      </w:pPr>
      <w:r w:rsidRPr="00C65244">
        <w:rPr>
          <w:rFonts w:ascii="Tahoma" w:hAnsi="Tahoma" w:cs="Tahoma"/>
          <w:bCs/>
          <w:color w:val="000000"/>
          <w:sz w:val="20"/>
          <w:szCs w:val="20"/>
        </w:rPr>
        <w:t>Support all business services to contribute positively to the school’s reputation and stakeholder relationships.</w:t>
      </w:r>
    </w:p>
    <w:p w14:paraId="65444421" w14:textId="77777777" w:rsidR="00FB0527" w:rsidRPr="00C65244" w:rsidRDefault="00FB0527" w:rsidP="00FB0527">
      <w:pPr>
        <w:pStyle w:val="NormalWeb"/>
        <w:numPr>
          <w:ilvl w:val="0"/>
          <w:numId w:val="25"/>
        </w:numPr>
        <w:spacing w:before="0" w:beforeAutospacing="0" w:after="0" w:afterAutospacing="0"/>
        <w:rPr>
          <w:rFonts w:ascii="Tahoma" w:hAnsi="Tahoma" w:cs="Tahoma"/>
          <w:bCs/>
          <w:color w:val="000000"/>
          <w:sz w:val="20"/>
          <w:szCs w:val="20"/>
        </w:rPr>
      </w:pPr>
      <w:r w:rsidRPr="00C65244">
        <w:rPr>
          <w:rFonts w:ascii="Tahoma" w:hAnsi="Tahoma" w:cs="Tahoma"/>
          <w:bCs/>
          <w:color w:val="000000"/>
          <w:sz w:val="20"/>
          <w:szCs w:val="20"/>
        </w:rPr>
        <w:t>Support school in developing effective communication with parents, carers, and the wider community.</w:t>
      </w:r>
    </w:p>
    <w:p w14:paraId="06F69A0E" w14:textId="77777777" w:rsidR="00FB0527" w:rsidRPr="00C65244" w:rsidRDefault="00FB0527" w:rsidP="00FB0527">
      <w:pPr>
        <w:pStyle w:val="NormalWeb"/>
        <w:numPr>
          <w:ilvl w:val="0"/>
          <w:numId w:val="25"/>
        </w:numPr>
        <w:spacing w:before="0" w:beforeAutospacing="0" w:after="0" w:afterAutospacing="0"/>
        <w:rPr>
          <w:rFonts w:ascii="Tahoma" w:hAnsi="Tahoma" w:cs="Tahoma"/>
          <w:bCs/>
          <w:color w:val="000000"/>
          <w:sz w:val="20"/>
          <w:szCs w:val="20"/>
        </w:rPr>
      </w:pPr>
      <w:r w:rsidRPr="00C65244">
        <w:rPr>
          <w:rFonts w:ascii="Tahoma" w:hAnsi="Tahoma" w:cs="Tahoma"/>
          <w:bCs/>
          <w:color w:val="000000"/>
          <w:sz w:val="20"/>
          <w:szCs w:val="20"/>
        </w:rPr>
        <w:t>Support the administration and coordination of Education, Health and Care Plan (EHCP) reviews and meetings, including documentation, scheduling, and recordkeeping</w:t>
      </w:r>
    </w:p>
    <w:p w14:paraId="3D80CC6D" w14:textId="77777777" w:rsidR="00FB0527" w:rsidRPr="00C65244" w:rsidRDefault="00FB0527" w:rsidP="00FB0527">
      <w:pPr>
        <w:pStyle w:val="NormalWeb"/>
        <w:numPr>
          <w:ilvl w:val="0"/>
          <w:numId w:val="25"/>
        </w:numPr>
        <w:spacing w:before="0" w:beforeAutospacing="0" w:after="0" w:afterAutospacing="0"/>
        <w:rPr>
          <w:rFonts w:ascii="Tahoma" w:hAnsi="Tahoma" w:cs="Tahoma"/>
          <w:bCs/>
          <w:color w:val="000000"/>
          <w:sz w:val="20"/>
          <w:szCs w:val="20"/>
        </w:rPr>
      </w:pPr>
      <w:r w:rsidRPr="00C65244">
        <w:rPr>
          <w:rFonts w:ascii="Tahoma" w:hAnsi="Tahoma" w:cs="Tahoma"/>
          <w:bCs/>
          <w:color w:val="000000"/>
          <w:sz w:val="20"/>
          <w:szCs w:val="20"/>
        </w:rPr>
        <w:t>Support effective liaison with external professionals, including therapists, local authority officers, and social workers</w:t>
      </w:r>
    </w:p>
    <w:p w14:paraId="112F3410" w14:textId="77777777" w:rsidR="00FB0527" w:rsidRPr="00C65244" w:rsidRDefault="00FB0527" w:rsidP="00FB0527">
      <w:pPr>
        <w:pStyle w:val="Default"/>
        <w:numPr>
          <w:ilvl w:val="0"/>
          <w:numId w:val="25"/>
        </w:numPr>
        <w:rPr>
          <w:sz w:val="20"/>
          <w:szCs w:val="20"/>
        </w:rPr>
      </w:pPr>
      <w:r w:rsidRPr="00C65244">
        <w:rPr>
          <w:sz w:val="20"/>
          <w:szCs w:val="20"/>
        </w:rPr>
        <w:t>Provide front-office and reception support, including managing visitors and incoming communications</w:t>
      </w:r>
    </w:p>
    <w:p w14:paraId="5AED01B5" w14:textId="77777777" w:rsidR="00FB0527" w:rsidRPr="00C65244" w:rsidRDefault="00FB0527" w:rsidP="00FB0527">
      <w:pPr>
        <w:pStyle w:val="Default"/>
        <w:numPr>
          <w:ilvl w:val="0"/>
          <w:numId w:val="25"/>
        </w:numPr>
        <w:rPr>
          <w:sz w:val="20"/>
          <w:szCs w:val="20"/>
        </w:rPr>
      </w:pPr>
      <w:r w:rsidRPr="00C65244">
        <w:rPr>
          <w:sz w:val="20"/>
          <w:szCs w:val="20"/>
        </w:rPr>
        <w:t>Monitor shared inboxes, handle calls, and support the circulation of information</w:t>
      </w:r>
    </w:p>
    <w:p w14:paraId="516769EC" w14:textId="77777777" w:rsidR="00FB0527" w:rsidRPr="00C65244" w:rsidRDefault="00FB0527" w:rsidP="00FB0527">
      <w:pPr>
        <w:pStyle w:val="Default"/>
        <w:numPr>
          <w:ilvl w:val="0"/>
          <w:numId w:val="25"/>
        </w:numPr>
        <w:rPr>
          <w:sz w:val="20"/>
          <w:szCs w:val="20"/>
        </w:rPr>
      </w:pPr>
      <w:r w:rsidRPr="00C65244">
        <w:rPr>
          <w:sz w:val="20"/>
          <w:szCs w:val="20"/>
        </w:rPr>
        <w:t>Support with event coordination, and internal/external communications</w:t>
      </w:r>
    </w:p>
    <w:p w14:paraId="07577587" w14:textId="77777777" w:rsidR="00FB0527" w:rsidRPr="00C65244" w:rsidRDefault="00FB0527" w:rsidP="00FB0527">
      <w:pPr>
        <w:pStyle w:val="Default"/>
        <w:numPr>
          <w:ilvl w:val="0"/>
          <w:numId w:val="25"/>
        </w:numPr>
        <w:rPr>
          <w:sz w:val="20"/>
          <w:szCs w:val="20"/>
        </w:rPr>
      </w:pPr>
      <w:r w:rsidRPr="00C65244">
        <w:rPr>
          <w:sz w:val="20"/>
          <w:szCs w:val="20"/>
        </w:rPr>
        <w:t>Support data entry</w:t>
      </w:r>
      <w:r>
        <w:rPr>
          <w:sz w:val="20"/>
          <w:szCs w:val="20"/>
        </w:rPr>
        <w:t xml:space="preserve"> and maintenance of all </w:t>
      </w:r>
      <w:r w:rsidRPr="00C65244">
        <w:rPr>
          <w:sz w:val="20"/>
          <w:szCs w:val="20"/>
        </w:rPr>
        <w:t>management information system</w:t>
      </w:r>
      <w:r>
        <w:rPr>
          <w:sz w:val="20"/>
          <w:szCs w:val="20"/>
        </w:rPr>
        <w:t>s, finance and HR IT databases</w:t>
      </w:r>
    </w:p>
    <w:p w14:paraId="41447A02" w14:textId="77777777" w:rsidR="00FB0527" w:rsidRDefault="00FB0527" w:rsidP="00FB0527">
      <w:pPr>
        <w:pStyle w:val="Default"/>
        <w:numPr>
          <w:ilvl w:val="0"/>
          <w:numId w:val="25"/>
        </w:numPr>
        <w:rPr>
          <w:sz w:val="20"/>
          <w:szCs w:val="20"/>
        </w:rPr>
      </w:pPr>
      <w:r w:rsidRPr="00C65244">
        <w:rPr>
          <w:sz w:val="20"/>
          <w:szCs w:val="20"/>
        </w:rPr>
        <w:t>Maintain accurate data and information records and ensure all systems meet compliance with Trust policies and public sector regulations.</w:t>
      </w:r>
    </w:p>
    <w:p w14:paraId="7B0980E1" w14:textId="77777777" w:rsidR="00FB0527" w:rsidRPr="00255ED9" w:rsidRDefault="00FB0527" w:rsidP="00FB0527">
      <w:pPr>
        <w:pStyle w:val="Default"/>
        <w:numPr>
          <w:ilvl w:val="0"/>
          <w:numId w:val="25"/>
        </w:numPr>
        <w:rPr>
          <w:sz w:val="20"/>
          <w:szCs w:val="20"/>
        </w:rPr>
      </w:pPr>
      <w:r w:rsidRPr="00255ED9">
        <w:rPr>
          <w:sz w:val="20"/>
          <w:szCs w:val="20"/>
        </w:rPr>
        <w:t xml:space="preserve">Work collaboratively with colleagues to support effective, consistent delivery and </w:t>
      </w:r>
      <w:r>
        <w:rPr>
          <w:sz w:val="20"/>
          <w:szCs w:val="20"/>
        </w:rPr>
        <w:t>c</w:t>
      </w:r>
      <w:r w:rsidRPr="00255ED9">
        <w:rPr>
          <w:sz w:val="20"/>
          <w:szCs w:val="20"/>
        </w:rPr>
        <w:t xml:space="preserve">ontribute to a culture of professionalism and continuous improvement </w:t>
      </w:r>
    </w:p>
    <w:p w14:paraId="36A235FE" w14:textId="77777777" w:rsidR="00FB0527" w:rsidRPr="00255ED9" w:rsidRDefault="00FB0527" w:rsidP="00FB0527">
      <w:pPr>
        <w:pStyle w:val="Default"/>
        <w:numPr>
          <w:ilvl w:val="0"/>
          <w:numId w:val="25"/>
        </w:numPr>
        <w:rPr>
          <w:sz w:val="20"/>
          <w:szCs w:val="20"/>
        </w:rPr>
      </w:pPr>
      <w:r w:rsidRPr="00255ED9">
        <w:rPr>
          <w:sz w:val="20"/>
          <w:szCs w:val="20"/>
        </w:rPr>
        <w:t>Act as an ambassador for the Trust’s business services, modelling professionalism, integrity, and high standards.</w:t>
      </w:r>
    </w:p>
    <w:p w14:paraId="07FE2DAA" w14:textId="77777777" w:rsidR="00FB0527" w:rsidRPr="00255ED9" w:rsidRDefault="00FB0527" w:rsidP="00FB0527">
      <w:pPr>
        <w:pStyle w:val="Default"/>
        <w:numPr>
          <w:ilvl w:val="0"/>
          <w:numId w:val="25"/>
        </w:numPr>
        <w:rPr>
          <w:sz w:val="20"/>
          <w:szCs w:val="20"/>
        </w:rPr>
      </w:pPr>
      <w:r w:rsidRPr="00255ED9">
        <w:rPr>
          <w:sz w:val="20"/>
          <w:szCs w:val="20"/>
        </w:rPr>
        <w:t>Maintain confidentiality and the highest standards of conduct at all times.</w:t>
      </w:r>
    </w:p>
    <w:p w14:paraId="3D2A84CF" w14:textId="77777777" w:rsidR="00FB0527" w:rsidRPr="00255ED9" w:rsidRDefault="00FB0527" w:rsidP="00FB0527">
      <w:pPr>
        <w:pStyle w:val="Default"/>
        <w:numPr>
          <w:ilvl w:val="0"/>
          <w:numId w:val="25"/>
        </w:numPr>
        <w:rPr>
          <w:sz w:val="20"/>
          <w:szCs w:val="20"/>
        </w:rPr>
      </w:pPr>
      <w:r w:rsidRPr="00255ED9">
        <w:rPr>
          <w:sz w:val="20"/>
          <w:szCs w:val="20"/>
        </w:rPr>
        <w:t>Undertake any other duties commensurate with the role and grade, as required by management.</w:t>
      </w:r>
    </w:p>
    <w:p w14:paraId="2335DFEE" w14:textId="77777777" w:rsidR="00FB0527" w:rsidRDefault="00FB0527" w:rsidP="00FB0527">
      <w:pPr>
        <w:pStyle w:val="Default"/>
        <w:rPr>
          <w:sz w:val="20"/>
          <w:szCs w:val="20"/>
        </w:rPr>
      </w:pPr>
    </w:p>
    <w:p w14:paraId="59678281" w14:textId="3E1D37AF" w:rsidR="00D11C19" w:rsidRDefault="00D11C19" w:rsidP="000156A0">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0156A0">
      <w:pPr>
        <w:pStyle w:val="Default"/>
        <w:jc w:val="both"/>
        <w:rPr>
          <w:b/>
          <w:sz w:val="20"/>
          <w:szCs w:val="20"/>
        </w:rPr>
      </w:pPr>
    </w:p>
    <w:p w14:paraId="7DED67C9" w14:textId="3291244C" w:rsidR="000751ED" w:rsidRDefault="009B246E" w:rsidP="000156A0">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156A0">
      <w:pPr>
        <w:pStyle w:val="Default"/>
        <w:jc w:val="both"/>
        <w:rPr>
          <w:bCs/>
          <w:i/>
          <w:iCs/>
          <w:sz w:val="20"/>
          <w:szCs w:val="20"/>
        </w:rPr>
      </w:pPr>
    </w:p>
    <w:p w14:paraId="2B7F5E60" w14:textId="168B847E" w:rsidR="000751ED" w:rsidRPr="00652DD3" w:rsidRDefault="000751ED" w:rsidP="000156A0">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156A0">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0156A0">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156A0">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156A0">
      <w:pPr>
        <w:pStyle w:val="Default"/>
        <w:numPr>
          <w:ilvl w:val="0"/>
          <w:numId w:val="23"/>
        </w:numPr>
        <w:spacing w:after="21"/>
        <w:jc w:val="both"/>
        <w:rPr>
          <w:sz w:val="20"/>
          <w:szCs w:val="20"/>
        </w:rPr>
      </w:pPr>
      <w:r w:rsidRPr="00C44617">
        <w:rPr>
          <w:sz w:val="20"/>
          <w:szCs w:val="20"/>
        </w:rPr>
        <w:lastRenderedPageBreak/>
        <w:t>An Induction package to help you settle in and approach your role with confidence and enthusiasm</w:t>
      </w:r>
    </w:p>
    <w:p w14:paraId="1FB58DE7" w14:textId="34D06695" w:rsidR="00DB3BB5" w:rsidRPr="00C44617" w:rsidRDefault="00DB3BB5" w:rsidP="000156A0">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156A0">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156A0">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0156A0">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0156A0">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156A0">
      <w:pPr>
        <w:spacing w:after="0" w:line="240" w:lineRule="auto"/>
        <w:jc w:val="both"/>
        <w:rPr>
          <w:rFonts w:cs="Tahoma"/>
          <w:sz w:val="20"/>
          <w:szCs w:val="20"/>
        </w:rPr>
      </w:pPr>
    </w:p>
    <w:p w14:paraId="00DD9EF3" w14:textId="77777777" w:rsidR="00E17679" w:rsidRDefault="00E17679" w:rsidP="000156A0">
      <w:pPr>
        <w:pStyle w:val="Default"/>
        <w:jc w:val="both"/>
        <w:rPr>
          <w:b/>
          <w:sz w:val="20"/>
          <w:szCs w:val="20"/>
        </w:rPr>
      </w:pPr>
      <w:r>
        <w:rPr>
          <w:b/>
          <w:sz w:val="20"/>
          <w:szCs w:val="20"/>
        </w:rPr>
        <w:t>To apply</w:t>
      </w:r>
    </w:p>
    <w:p w14:paraId="51278E78" w14:textId="77777777" w:rsidR="00E17679" w:rsidRPr="00FD3675" w:rsidRDefault="00E17679" w:rsidP="000156A0">
      <w:pPr>
        <w:pStyle w:val="Default"/>
        <w:jc w:val="both"/>
        <w:rPr>
          <w:b/>
          <w:sz w:val="20"/>
          <w:szCs w:val="20"/>
        </w:rPr>
      </w:pPr>
    </w:p>
    <w:p w14:paraId="6574AE3C" w14:textId="4B76CA80" w:rsidR="00E17679" w:rsidRDefault="00385CA0" w:rsidP="00385CA0">
      <w:pPr>
        <w:rPr>
          <w:sz w:val="20"/>
          <w:szCs w:val="20"/>
        </w:rPr>
      </w:pPr>
      <w:r w:rsidRPr="00750936">
        <w:rPr>
          <w:sz w:val="20"/>
          <w:szCs w:val="20"/>
        </w:rPr>
        <w:t xml:space="preserve">If you're interested in this role and wish to apply, please visit </w:t>
      </w:r>
      <w:r w:rsidR="0047342E" w:rsidRPr="00750936">
        <w:rPr>
          <w:sz w:val="20"/>
          <w:szCs w:val="20"/>
        </w:rPr>
        <w:t>the Nexus MAT</w:t>
      </w:r>
      <w:r w:rsidRPr="00750936">
        <w:rPr>
          <w:sz w:val="20"/>
          <w:szCs w:val="20"/>
        </w:rPr>
        <w:t xml:space="preserve"> website to download an application form. You'll find it under the </w:t>
      </w:r>
      <w:r w:rsidRPr="00750936">
        <w:rPr>
          <w:i/>
          <w:iCs/>
          <w:sz w:val="20"/>
          <w:szCs w:val="20"/>
        </w:rPr>
        <w:t>Joining Us – Careers</w:t>
      </w:r>
      <w:r w:rsidRPr="00750936">
        <w:rPr>
          <w:sz w:val="20"/>
          <w:szCs w:val="20"/>
        </w:rPr>
        <w:t xml:space="preserve"> sectio</w:t>
      </w:r>
      <w:r w:rsidR="0047342E" w:rsidRPr="00750936">
        <w:rPr>
          <w:sz w:val="20"/>
          <w:szCs w:val="20"/>
        </w:rPr>
        <w:t>n</w:t>
      </w:r>
      <w:r w:rsidRPr="00750936">
        <w:rPr>
          <w:sz w:val="20"/>
          <w:szCs w:val="20"/>
        </w:rPr>
        <w:t>, where the position is listed</w:t>
      </w:r>
    </w:p>
    <w:p w14:paraId="32ED8A55" w14:textId="5DE0A190" w:rsidR="00385CA0" w:rsidRPr="00385CA0" w:rsidRDefault="00385CA0" w:rsidP="00385CA0">
      <w:pPr>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26565E78" w14:textId="77777777" w:rsidR="00FB0527" w:rsidRDefault="00E17679" w:rsidP="00FB0527">
      <w:pPr>
        <w:pStyle w:val="Default"/>
        <w:rPr>
          <w:sz w:val="20"/>
          <w:szCs w:val="20"/>
        </w:rPr>
      </w:pPr>
      <w:r w:rsidRPr="00C44617">
        <w:rPr>
          <w:sz w:val="20"/>
          <w:szCs w:val="20"/>
        </w:rPr>
        <w:t xml:space="preserve">Completed applications to be sent to </w:t>
      </w:r>
      <w:hyperlink r:id="rId13" w:history="1">
        <w:r w:rsidR="00FB0527" w:rsidRPr="001B6A3D">
          <w:rPr>
            <w:rStyle w:val="Hyperlink"/>
            <w:sz w:val="20"/>
            <w:szCs w:val="20"/>
          </w:rPr>
          <w:t>recruitment@bentsgreen.sheffield.sch.uk</w:t>
        </w:r>
      </w:hyperlink>
    </w:p>
    <w:p w14:paraId="5429FD2C" w14:textId="7CE2DD72" w:rsidR="00E17679" w:rsidRDefault="00E17679" w:rsidP="000156A0">
      <w:pPr>
        <w:pStyle w:val="Default"/>
        <w:jc w:val="both"/>
        <w:rPr>
          <w:color w:val="0000FF"/>
          <w:sz w:val="20"/>
          <w:szCs w:val="20"/>
        </w:rPr>
      </w:pPr>
    </w:p>
    <w:p w14:paraId="69E26337" w14:textId="0DA3047B" w:rsidR="00E17679" w:rsidRPr="00385CA0" w:rsidRDefault="00525F63" w:rsidP="000156A0">
      <w:pPr>
        <w:pStyle w:val="Default"/>
        <w:jc w:val="both"/>
        <w:rPr>
          <w:color w:val="0000FF"/>
          <w:sz w:val="16"/>
          <w:szCs w:val="16"/>
        </w:rPr>
      </w:pPr>
      <w:r w:rsidRPr="00750936">
        <w:rPr>
          <w:color w:val="000000" w:themeColor="text1"/>
          <w:sz w:val="20"/>
          <w:szCs w:val="20"/>
        </w:rPr>
        <w:t>In line with safer recruitment practices and Keeping Children Safe in Education (KCSIE), curriculum vitae (CV’s) will only be accepted alongside a full application form</w:t>
      </w:r>
    </w:p>
    <w:p w14:paraId="2D0513D7" w14:textId="77777777" w:rsidR="00E17679" w:rsidRPr="00C44617" w:rsidRDefault="00E17679" w:rsidP="000156A0">
      <w:pPr>
        <w:pStyle w:val="Default"/>
        <w:jc w:val="both"/>
        <w:rPr>
          <w:sz w:val="20"/>
          <w:szCs w:val="20"/>
        </w:rPr>
      </w:pPr>
    </w:p>
    <w:p w14:paraId="36D6F74C" w14:textId="11059DF4" w:rsidR="00E17679" w:rsidRPr="00C44617" w:rsidRDefault="00E17679" w:rsidP="000156A0">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0156A0">
      <w:pPr>
        <w:pStyle w:val="Default"/>
        <w:jc w:val="both"/>
        <w:rPr>
          <w:sz w:val="20"/>
          <w:szCs w:val="20"/>
        </w:rPr>
      </w:pPr>
    </w:p>
    <w:p w14:paraId="12D55993" w14:textId="77777777" w:rsidR="00D11C19" w:rsidRPr="00C44617" w:rsidRDefault="00D11C19" w:rsidP="000156A0">
      <w:pPr>
        <w:pStyle w:val="Default"/>
        <w:jc w:val="both"/>
        <w:rPr>
          <w:b/>
          <w:sz w:val="20"/>
          <w:szCs w:val="20"/>
        </w:rPr>
      </w:pPr>
      <w:r w:rsidRPr="00C44617">
        <w:rPr>
          <w:b/>
          <w:sz w:val="20"/>
          <w:szCs w:val="20"/>
        </w:rPr>
        <w:t>Further information</w:t>
      </w:r>
    </w:p>
    <w:p w14:paraId="1DDA21DD" w14:textId="77777777" w:rsidR="00FA7DB0" w:rsidRPr="00C44617" w:rsidRDefault="00FA7DB0" w:rsidP="000156A0">
      <w:pPr>
        <w:pStyle w:val="Default"/>
        <w:jc w:val="both"/>
        <w:rPr>
          <w:b/>
          <w:sz w:val="20"/>
          <w:szCs w:val="20"/>
        </w:rPr>
      </w:pPr>
    </w:p>
    <w:p w14:paraId="2C05E6D6" w14:textId="79756845" w:rsidR="00FB0527" w:rsidRPr="00C44617" w:rsidRDefault="00D11C19" w:rsidP="00FB0527">
      <w:pPr>
        <w:pStyle w:val="Default"/>
        <w:rPr>
          <w:sz w:val="20"/>
          <w:szCs w:val="20"/>
        </w:rPr>
      </w:pPr>
      <w:r w:rsidRPr="00C44617">
        <w:rPr>
          <w:sz w:val="20"/>
          <w:szCs w:val="20"/>
        </w:rPr>
        <w:t xml:space="preserve">For an informal and confidential conversation about the role, please contact </w:t>
      </w:r>
      <w:r w:rsidR="00FB0527">
        <w:rPr>
          <w:sz w:val="20"/>
          <w:szCs w:val="20"/>
        </w:rPr>
        <w:t xml:space="preserve">El </w:t>
      </w:r>
      <w:proofErr w:type="spellStart"/>
      <w:r w:rsidR="00FB0527">
        <w:rPr>
          <w:sz w:val="20"/>
          <w:szCs w:val="20"/>
        </w:rPr>
        <w:t>Drayson</w:t>
      </w:r>
      <w:proofErr w:type="spellEnd"/>
      <w:r w:rsidR="00FB0527">
        <w:rPr>
          <w:sz w:val="20"/>
          <w:szCs w:val="20"/>
        </w:rPr>
        <w:t xml:space="preserve">, Head of School, </w:t>
      </w:r>
      <w:proofErr w:type="spellStart"/>
      <w:r w:rsidR="00FB0527">
        <w:rPr>
          <w:sz w:val="20"/>
          <w:szCs w:val="20"/>
        </w:rPr>
        <w:t>Ringinglow</w:t>
      </w:r>
      <w:proofErr w:type="spellEnd"/>
      <w:r w:rsidR="00FB0527">
        <w:rPr>
          <w:sz w:val="20"/>
          <w:szCs w:val="20"/>
        </w:rPr>
        <w:t xml:space="preserve"> Road Site. Telephone 0114 2363545.</w:t>
      </w:r>
    </w:p>
    <w:p w14:paraId="408BD2A4" w14:textId="15B3C128" w:rsidR="00A34502" w:rsidRPr="00C44617" w:rsidRDefault="00A34502" w:rsidP="000156A0">
      <w:pPr>
        <w:pStyle w:val="Default"/>
        <w:jc w:val="both"/>
        <w:rPr>
          <w:sz w:val="20"/>
          <w:szCs w:val="20"/>
        </w:rPr>
      </w:pPr>
    </w:p>
    <w:p w14:paraId="01D583AA" w14:textId="45D95B4C" w:rsidR="00D505B9" w:rsidRPr="00C44617" w:rsidRDefault="00D505B9" w:rsidP="00FB0527">
      <w:pPr>
        <w:pStyle w:val="Default"/>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r w:rsidR="00FB0527">
        <w:rPr>
          <w:sz w:val="20"/>
          <w:szCs w:val="20"/>
        </w:rPr>
        <w:t>www.bentsgreen.co.uk</w:t>
      </w:r>
    </w:p>
    <w:p w14:paraId="7728B4F2" w14:textId="77777777" w:rsidR="00D11C19" w:rsidRPr="00C44617" w:rsidRDefault="00D11C19" w:rsidP="000156A0">
      <w:pPr>
        <w:pStyle w:val="Default"/>
        <w:jc w:val="both"/>
        <w:rPr>
          <w:sz w:val="20"/>
          <w:szCs w:val="20"/>
        </w:rPr>
      </w:pPr>
    </w:p>
    <w:p w14:paraId="6FB29DDA" w14:textId="64ABA759" w:rsidR="00D11C19" w:rsidRPr="00C44617" w:rsidRDefault="00D11C19" w:rsidP="000156A0">
      <w:pPr>
        <w:pStyle w:val="Default"/>
        <w:jc w:val="both"/>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0156A0">
      <w:pPr>
        <w:pStyle w:val="Default"/>
        <w:jc w:val="both"/>
        <w:rPr>
          <w:b/>
          <w:sz w:val="20"/>
          <w:szCs w:val="20"/>
        </w:rPr>
      </w:pPr>
    </w:p>
    <w:p w14:paraId="73615FA6" w14:textId="77777777" w:rsidR="00540E76" w:rsidRPr="00C44617" w:rsidRDefault="00540E76" w:rsidP="000156A0">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0156A0">
      <w:pPr>
        <w:jc w:val="both"/>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4" w:history="1">
        <w:r w:rsidRPr="00C44617">
          <w:rPr>
            <w:rStyle w:val="Hyperlink"/>
            <w:rFonts w:cs="Tahoma"/>
            <w:sz w:val="20"/>
            <w:szCs w:val="20"/>
          </w:rPr>
          <w:t>www.gov.uk/disclosure-barring-service-check</w:t>
        </w:r>
      </w:hyperlink>
      <w:r w:rsidRPr="00C44617">
        <w:rPr>
          <w:rFonts w:cs="Tahoma"/>
          <w:sz w:val="20"/>
          <w:szCs w:val="20"/>
        </w:rPr>
        <w:t>.</w:t>
      </w:r>
    </w:p>
    <w:p w14:paraId="381E133D" w14:textId="2C422726" w:rsidR="00FE470C" w:rsidRPr="00F2658E" w:rsidRDefault="003A12DF" w:rsidP="000156A0">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27B2538B" w14:textId="77777777" w:rsidR="00FE470C" w:rsidRPr="00C44617" w:rsidRDefault="00FE470C" w:rsidP="000156A0">
      <w:pPr>
        <w:jc w:val="both"/>
        <w:rPr>
          <w:rFonts w:cs="Tahoma"/>
          <w:b/>
          <w:sz w:val="20"/>
          <w:szCs w:val="20"/>
        </w:rPr>
      </w:pPr>
    </w:p>
    <w:sectPr w:rsidR="00FE470C" w:rsidRPr="00C44617" w:rsidSect="00CF7D72">
      <w:headerReference w:type="default" r:id="rId15"/>
      <w:footerReference w:type="default" r:id="rId16"/>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6E278" w14:textId="77777777" w:rsidR="00DB0045" w:rsidRDefault="00DB0045" w:rsidP="004339D2">
      <w:pPr>
        <w:spacing w:after="0" w:line="240" w:lineRule="auto"/>
      </w:pPr>
      <w:r>
        <w:separator/>
      </w:r>
    </w:p>
  </w:endnote>
  <w:endnote w:type="continuationSeparator" w:id="0">
    <w:p w14:paraId="50F23EA9" w14:textId="77777777" w:rsidR="00DB0045" w:rsidRDefault="00DB0045"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BBF27" w14:textId="77777777" w:rsidR="00DB0045" w:rsidRDefault="00DB0045" w:rsidP="004339D2">
      <w:pPr>
        <w:spacing w:after="0" w:line="240" w:lineRule="auto"/>
      </w:pPr>
      <w:r>
        <w:separator/>
      </w:r>
    </w:p>
  </w:footnote>
  <w:footnote w:type="continuationSeparator" w:id="0">
    <w:p w14:paraId="400F1BE9" w14:textId="77777777" w:rsidR="00DB0045" w:rsidRDefault="00DB0045"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4BA9" w14:textId="025B4FE5" w:rsidR="000C2A65" w:rsidRDefault="00FB0527" w:rsidP="000C2A65">
    <w:pPr>
      <w:pStyle w:val="Header"/>
      <w:jc w:val="right"/>
    </w:pPr>
    <w:r>
      <w:rPr>
        <w:rFonts w:cs="Tahoma"/>
        <w:b/>
        <w:noProof/>
        <w:sz w:val="28"/>
        <w:szCs w:val="28"/>
      </w:rPr>
      <w:drawing>
        <wp:anchor distT="0" distB="0" distL="114300" distR="114300" simplePos="0" relativeHeight="251660288" behindDoc="1" locked="0" layoutInCell="1" allowOverlap="1" wp14:anchorId="3F79B030" wp14:editId="4A70DC9F">
          <wp:simplePos x="0" y="0"/>
          <wp:positionH relativeFrom="margin">
            <wp:align>left</wp:align>
          </wp:positionH>
          <wp:positionV relativeFrom="paragraph">
            <wp:posOffset>7620</wp:posOffset>
          </wp:positionV>
          <wp:extent cx="727406" cy="6858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094" cy="689277"/>
                  </a:xfrm>
                  <a:prstGeom prst="rect">
                    <a:avLst/>
                  </a:prstGeom>
                  <a:noFill/>
                  <a:ln>
                    <a:noFill/>
                  </a:ln>
                </pic:spPr>
              </pic:pic>
            </a:graphicData>
          </a:graphic>
          <wp14:sizeRelH relativeFrom="page">
            <wp14:pctWidth>0</wp14:pctWidth>
          </wp14:sizeRelH>
          <wp14:sizeRelV relativeFrom="page">
            <wp14:pctHeight>0</wp14:pctHeight>
          </wp14:sizeRelV>
        </wp:anchor>
      </w:drawing>
    </w:r>
    <w:r w:rsidR="0098780D">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462D7CDE" w14:textId="21CAF665" w:rsidR="000C2A65" w:rsidRDefault="000C2A65">
    <w:pPr>
      <w:pStyle w:val="Header"/>
    </w:pPr>
  </w:p>
  <w:p w14:paraId="5A1C2EC2" w14:textId="06578B5D"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CA3441"/>
    <w:multiLevelType w:val="hybridMultilevel"/>
    <w:tmpl w:val="DE342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8F3AAD"/>
    <w:multiLevelType w:val="hybridMultilevel"/>
    <w:tmpl w:val="166E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3"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7"/>
  </w:num>
  <w:num w:numId="3">
    <w:abstractNumId w:val="0"/>
  </w:num>
  <w:num w:numId="4">
    <w:abstractNumId w:val="16"/>
  </w:num>
  <w:num w:numId="5">
    <w:abstractNumId w:val="20"/>
  </w:num>
  <w:num w:numId="6">
    <w:abstractNumId w:val="4"/>
  </w:num>
  <w:num w:numId="7">
    <w:abstractNumId w:val="12"/>
  </w:num>
  <w:num w:numId="8">
    <w:abstractNumId w:val="19"/>
  </w:num>
  <w:num w:numId="9">
    <w:abstractNumId w:val="13"/>
  </w:num>
  <w:num w:numId="10">
    <w:abstractNumId w:val="8"/>
  </w:num>
  <w:num w:numId="11">
    <w:abstractNumId w:val="9"/>
  </w:num>
  <w:num w:numId="12">
    <w:abstractNumId w:val="22"/>
  </w:num>
  <w:num w:numId="13">
    <w:abstractNumId w:val="3"/>
  </w:num>
  <w:num w:numId="14">
    <w:abstractNumId w:val="11"/>
  </w:num>
  <w:num w:numId="15">
    <w:abstractNumId w:val="6"/>
  </w:num>
  <w:num w:numId="16">
    <w:abstractNumId w:val="14"/>
  </w:num>
  <w:num w:numId="17">
    <w:abstractNumId w:val="23"/>
  </w:num>
  <w:num w:numId="18">
    <w:abstractNumId w:val="5"/>
  </w:num>
  <w:num w:numId="19">
    <w:abstractNumId w:val="18"/>
  </w:num>
  <w:num w:numId="20">
    <w:abstractNumId w:val="2"/>
  </w:num>
  <w:num w:numId="21">
    <w:abstractNumId w:val="24"/>
  </w:num>
  <w:num w:numId="22">
    <w:abstractNumId w:val="21"/>
  </w:num>
  <w:num w:numId="23">
    <w:abstractNumId w:val="7"/>
  </w:num>
  <w:num w:numId="24">
    <w:abstractNumId w:val="1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177CF"/>
    <w:rsid w:val="00287C17"/>
    <w:rsid w:val="002C5853"/>
    <w:rsid w:val="002D4982"/>
    <w:rsid w:val="002E1D36"/>
    <w:rsid w:val="002E3AC9"/>
    <w:rsid w:val="003028B8"/>
    <w:rsid w:val="00322559"/>
    <w:rsid w:val="00323475"/>
    <w:rsid w:val="00335668"/>
    <w:rsid w:val="00340C31"/>
    <w:rsid w:val="00342968"/>
    <w:rsid w:val="00342F7C"/>
    <w:rsid w:val="003445E8"/>
    <w:rsid w:val="00347C76"/>
    <w:rsid w:val="00355718"/>
    <w:rsid w:val="003642D8"/>
    <w:rsid w:val="00385CA0"/>
    <w:rsid w:val="00391B38"/>
    <w:rsid w:val="003A12DF"/>
    <w:rsid w:val="003B02AA"/>
    <w:rsid w:val="003B4108"/>
    <w:rsid w:val="003B7E10"/>
    <w:rsid w:val="003C7945"/>
    <w:rsid w:val="003D6092"/>
    <w:rsid w:val="00407D0F"/>
    <w:rsid w:val="0042269E"/>
    <w:rsid w:val="00424319"/>
    <w:rsid w:val="00431EDA"/>
    <w:rsid w:val="004339D2"/>
    <w:rsid w:val="00451FA5"/>
    <w:rsid w:val="004575F2"/>
    <w:rsid w:val="00460637"/>
    <w:rsid w:val="00463084"/>
    <w:rsid w:val="0047342E"/>
    <w:rsid w:val="004752E7"/>
    <w:rsid w:val="00484F3B"/>
    <w:rsid w:val="00486385"/>
    <w:rsid w:val="004958C9"/>
    <w:rsid w:val="004A0460"/>
    <w:rsid w:val="004A0CEB"/>
    <w:rsid w:val="004A390C"/>
    <w:rsid w:val="004A4002"/>
    <w:rsid w:val="004C30B8"/>
    <w:rsid w:val="004C37F7"/>
    <w:rsid w:val="004C5CB7"/>
    <w:rsid w:val="004C7FFD"/>
    <w:rsid w:val="004D5D23"/>
    <w:rsid w:val="005176B7"/>
    <w:rsid w:val="00525F63"/>
    <w:rsid w:val="00531A38"/>
    <w:rsid w:val="00531B69"/>
    <w:rsid w:val="00535CB3"/>
    <w:rsid w:val="00540E76"/>
    <w:rsid w:val="00553610"/>
    <w:rsid w:val="005E0BEE"/>
    <w:rsid w:val="005F6DF8"/>
    <w:rsid w:val="00601C8B"/>
    <w:rsid w:val="00620C7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50936"/>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324E"/>
    <w:rsid w:val="00984129"/>
    <w:rsid w:val="0098780D"/>
    <w:rsid w:val="009A29BA"/>
    <w:rsid w:val="009B246E"/>
    <w:rsid w:val="009D286D"/>
    <w:rsid w:val="009D3B6C"/>
    <w:rsid w:val="009D5318"/>
    <w:rsid w:val="009E194D"/>
    <w:rsid w:val="009E5459"/>
    <w:rsid w:val="009F0090"/>
    <w:rsid w:val="00A04807"/>
    <w:rsid w:val="00A34502"/>
    <w:rsid w:val="00A4739D"/>
    <w:rsid w:val="00A53132"/>
    <w:rsid w:val="00A64DD0"/>
    <w:rsid w:val="00A7118E"/>
    <w:rsid w:val="00A81169"/>
    <w:rsid w:val="00A8602C"/>
    <w:rsid w:val="00AA743B"/>
    <w:rsid w:val="00AB43C4"/>
    <w:rsid w:val="00AC3AC4"/>
    <w:rsid w:val="00AE61D6"/>
    <w:rsid w:val="00AE7314"/>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16B24"/>
    <w:rsid w:val="00D27702"/>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2658E"/>
    <w:rsid w:val="00F3112C"/>
    <w:rsid w:val="00F46AE6"/>
    <w:rsid w:val="00F52A4E"/>
    <w:rsid w:val="00F9377E"/>
    <w:rsid w:val="00F944CC"/>
    <w:rsid w:val="00FA7DB0"/>
    <w:rsid w:val="00FB0527"/>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bentsgreen.sheffield.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disclosure-barring-service-chec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3D824-FE47-4B59-A058-5B3D8319172A}">
  <ds:schemaRefs>
    <ds:schemaRef ds:uri="dc640539-da04-42c3-9305-6e41b5b5c2f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60fb2b-9dde-40bf-8aff-fef5a91c6b2e"/>
    <ds:schemaRef ds:uri="http://www.w3.org/XML/1998/namespace"/>
    <ds:schemaRef ds:uri="http://purl.org/dc/dcmitype/"/>
  </ds:schemaRefs>
</ds:datastoreItem>
</file>

<file path=customXml/itemProps2.xml><?xml version="1.0" encoding="utf-8"?>
<ds:datastoreItem xmlns:ds="http://schemas.openxmlformats.org/officeDocument/2006/customXml" ds:itemID="{70CD9B46-1F91-4B5F-BD8D-216AB4492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B9103A48-7C24-4D7F-A1DA-59B342406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7</TotalTime>
  <Pages>3</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Lynda I'ons</cp:lastModifiedBy>
  <cp:revision>7</cp:revision>
  <cp:lastPrinted>2021-06-03T08:15:00Z</cp:lastPrinted>
  <dcterms:created xsi:type="dcterms:W3CDTF">2025-11-10T14:58:00Z</dcterms:created>
  <dcterms:modified xsi:type="dcterms:W3CDTF">2025-12-09T11:41:00Z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ies>
</file>