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3699" w14:textId="1079C4B5" w:rsidR="00E272EA" w:rsidRDefault="257329AB" w:rsidP="257329AB">
      <w:pPr>
        <w:rPr>
          <w:rFonts w:cs="Tahoma"/>
          <w:b/>
          <w:bCs/>
          <w:sz w:val="20"/>
          <w:szCs w:val="20"/>
        </w:rPr>
      </w:pPr>
      <w:r>
        <w:rPr>
          <w:noProof/>
        </w:rPr>
        <w:drawing>
          <wp:anchor distT="0" distB="0" distL="114300" distR="114300" simplePos="0" relativeHeight="251658240" behindDoc="1" locked="0" layoutInCell="1" allowOverlap="1" wp14:anchorId="6F2DC0AA" wp14:editId="14506C08">
            <wp:simplePos x="0" y="0"/>
            <wp:positionH relativeFrom="column">
              <wp:posOffset>-514350</wp:posOffset>
            </wp:positionH>
            <wp:positionV relativeFrom="paragraph">
              <wp:posOffset>-790575</wp:posOffset>
            </wp:positionV>
            <wp:extent cx="2798307" cy="859611"/>
            <wp:effectExtent l="0" t="0" r="0" b="0"/>
            <wp:wrapNone/>
            <wp:docPr id="20526576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57615" name=""/>
                    <pic:cNvPicPr/>
                  </pic:nvPicPr>
                  <pic:blipFill>
                    <a:blip r:embed="rId11">
                      <a:extLst>
                        <a:ext uri="{28A0092B-C50C-407E-A947-70E740481C1C}">
                          <a14:useLocalDpi xmlns:a14="http://schemas.microsoft.com/office/drawing/2010/main" val="0"/>
                        </a:ext>
                      </a:extLst>
                    </a:blip>
                    <a:stretch>
                      <a:fillRect/>
                    </a:stretch>
                  </pic:blipFill>
                  <pic:spPr>
                    <a:xfrm>
                      <a:off x="0" y="0"/>
                      <a:ext cx="2798307" cy="859611"/>
                    </a:xfrm>
                    <a:prstGeom prst="rect">
                      <a:avLst/>
                    </a:prstGeom>
                  </pic:spPr>
                </pic:pic>
              </a:graphicData>
            </a:graphic>
            <wp14:sizeRelH relativeFrom="page">
              <wp14:pctWidth>0</wp14:pctWidth>
            </wp14:sizeRelH>
            <wp14:sizeRelV relativeFrom="page">
              <wp14:pctHeight>0</wp14:pctHeight>
            </wp14:sizeRelV>
          </wp:anchor>
        </w:drawing>
      </w:r>
      <w:r w:rsidR="00E272EA">
        <w:rPr>
          <w:rFonts w:cs="Tahoma"/>
          <w:b/>
          <w:bCs/>
          <w:sz w:val="20"/>
          <w:szCs w:val="20"/>
        </w:rPr>
        <w:t xml:space="preserve">   </w:t>
      </w:r>
    </w:p>
    <w:p w14:paraId="5BB811D7" w14:textId="77777777" w:rsidR="00E272EA" w:rsidRPr="00E272EA" w:rsidRDefault="00E272EA" w:rsidP="00E272EA">
      <w:pPr>
        <w:spacing w:before="100" w:beforeAutospacing="1" w:after="100" w:afterAutospacing="1" w:line="240" w:lineRule="auto"/>
        <w:jc w:val="center"/>
        <w:outlineLvl w:val="0"/>
        <w:rPr>
          <w:rFonts w:eastAsia="Times New Roman" w:cs="Tahoma"/>
          <w:b/>
          <w:bCs/>
          <w:kern w:val="36"/>
          <w:sz w:val="22"/>
          <w:lang w:eastAsia="en-GB"/>
        </w:rPr>
      </w:pPr>
      <w:r w:rsidRPr="00E272EA">
        <w:rPr>
          <w:rFonts w:eastAsia="Times New Roman" w:cs="Tahoma"/>
          <w:b/>
          <w:bCs/>
          <w:kern w:val="36"/>
          <w:sz w:val="22"/>
          <w:lang w:eastAsia="en-GB"/>
        </w:rPr>
        <w:t>Job Description</w:t>
      </w:r>
    </w:p>
    <w:p w14:paraId="3F915F04"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b/>
          <w:bCs/>
          <w:sz w:val="22"/>
          <w:lang w:eastAsia="en-GB"/>
        </w:rPr>
        <w:t>Job Title:</w:t>
      </w:r>
      <w:r w:rsidRPr="00E272EA">
        <w:rPr>
          <w:rFonts w:eastAsia="Times New Roman" w:cs="Tahoma"/>
          <w:sz w:val="22"/>
          <w:lang w:eastAsia="en-GB"/>
        </w:rPr>
        <w:br/>
        <w:t>Exams Officer</w:t>
      </w:r>
    </w:p>
    <w:p w14:paraId="46F6E43C"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b/>
          <w:bCs/>
          <w:sz w:val="22"/>
          <w:lang w:eastAsia="en-GB"/>
        </w:rPr>
        <w:t>School:</w:t>
      </w:r>
      <w:r w:rsidRPr="00E272EA">
        <w:rPr>
          <w:rFonts w:eastAsia="Times New Roman" w:cs="Tahoma"/>
          <w:sz w:val="22"/>
          <w:lang w:eastAsia="en-GB"/>
        </w:rPr>
        <w:br/>
        <w:t>Endeavour Academy</w:t>
      </w:r>
    </w:p>
    <w:p w14:paraId="089EAC17"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b/>
          <w:bCs/>
          <w:sz w:val="22"/>
          <w:lang w:eastAsia="en-GB"/>
        </w:rPr>
        <w:t>Employer:</w:t>
      </w:r>
      <w:r w:rsidRPr="00E272EA">
        <w:rPr>
          <w:rFonts w:eastAsia="Times New Roman" w:cs="Tahoma"/>
          <w:sz w:val="22"/>
          <w:lang w:eastAsia="en-GB"/>
        </w:rPr>
        <w:br/>
        <w:t>Nexus Multi-Academy Trust</w:t>
      </w:r>
    </w:p>
    <w:p w14:paraId="4A3C9D1C"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b/>
          <w:bCs/>
          <w:sz w:val="22"/>
          <w:lang w:eastAsia="en-GB"/>
        </w:rPr>
        <w:t>Responsible to:</w:t>
      </w:r>
      <w:r w:rsidRPr="00E272EA">
        <w:rPr>
          <w:rFonts w:eastAsia="Times New Roman" w:cs="Tahoma"/>
          <w:sz w:val="22"/>
          <w:lang w:eastAsia="en-GB"/>
        </w:rPr>
        <w:br/>
        <w:t>Exams &amp; Accreditations Lead / Head of School</w:t>
      </w:r>
    </w:p>
    <w:p w14:paraId="12642234"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b/>
          <w:bCs/>
          <w:sz w:val="22"/>
          <w:lang w:eastAsia="en-GB"/>
        </w:rPr>
        <w:t>Responsible for:</w:t>
      </w:r>
    </w:p>
    <w:p w14:paraId="2680CF01" w14:textId="77777777" w:rsidR="00E272EA" w:rsidRPr="00E272EA" w:rsidRDefault="00E272EA" w:rsidP="00E272EA">
      <w:pPr>
        <w:numPr>
          <w:ilvl w:val="0"/>
          <w:numId w:val="24"/>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The effective administration of all internal and external examinations at Endeavour Academy.</w:t>
      </w:r>
    </w:p>
    <w:p w14:paraId="36920FFD" w14:textId="77777777" w:rsidR="00E272EA" w:rsidRPr="00E272EA" w:rsidRDefault="00E272EA" w:rsidP="00E272EA">
      <w:pPr>
        <w:numPr>
          <w:ilvl w:val="0"/>
          <w:numId w:val="24"/>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Ensuring full compliance with JCQ and awarding body regulations.</w:t>
      </w:r>
    </w:p>
    <w:p w14:paraId="1C7C2059" w14:textId="77777777" w:rsidR="00E272EA" w:rsidRPr="00E272EA" w:rsidRDefault="00E272EA" w:rsidP="00E272EA">
      <w:pPr>
        <w:numPr>
          <w:ilvl w:val="0"/>
          <w:numId w:val="24"/>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Coordinating invigilators and access arrangements to enable pupils with SEMH and additional needs to access exams fairly.</w:t>
      </w:r>
    </w:p>
    <w:p w14:paraId="60F1BC17" w14:textId="77777777" w:rsidR="00E272EA" w:rsidRPr="00E272EA" w:rsidRDefault="00E272EA" w:rsidP="00E272EA">
      <w:pPr>
        <w:spacing w:after="0" w:line="240" w:lineRule="auto"/>
        <w:rPr>
          <w:rFonts w:eastAsia="Times New Roman" w:cs="Tahoma"/>
          <w:sz w:val="22"/>
          <w:lang w:eastAsia="en-GB"/>
        </w:rPr>
      </w:pPr>
      <w:r w:rsidRPr="00E272EA">
        <w:rPr>
          <w:rFonts w:eastAsia="Times New Roman" w:cs="Tahoma"/>
          <w:sz w:val="22"/>
          <w:lang w:eastAsia="en-GB"/>
        </w:rPr>
        <w:pict w14:anchorId="2E2EFD4C">
          <v:rect id="_x0000_i1025" style="width:0;height:1.5pt" o:hralign="center" o:hrstd="t" o:hr="t" fillcolor="#a0a0a0" stroked="f"/>
        </w:pict>
      </w:r>
    </w:p>
    <w:p w14:paraId="34C99C51" w14:textId="77777777" w:rsidR="00E272EA" w:rsidRPr="00E272EA" w:rsidRDefault="00E272EA" w:rsidP="00E272EA">
      <w:pPr>
        <w:spacing w:before="100" w:beforeAutospacing="1" w:after="100" w:afterAutospacing="1" w:line="240" w:lineRule="auto"/>
        <w:outlineLvl w:val="2"/>
        <w:rPr>
          <w:rFonts w:eastAsia="Times New Roman" w:cs="Tahoma"/>
          <w:b/>
          <w:bCs/>
          <w:sz w:val="22"/>
          <w:lang w:eastAsia="en-GB"/>
        </w:rPr>
      </w:pPr>
      <w:r w:rsidRPr="00E272EA">
        <w:rPr>
          <w:rFonts w:eastAsia="Times New Roman" w:cs="Tahoma"/>
          <w:b/>
          <w:bCs/>
          <w:sz w:val="22"/>
          <w:lang w:eastAsia="en-GB"/>
        </w:rPr>
        <w:t>Duties and Responsibilities</w:t>
      </w:r>
    </w:p>
    <w:p w14:paraId="357EA0B9" w14:textId="77777777" w:rsidR="00E272EA" w:rsidRPr="00E272EA" w:rsidRDefault="00E272EA" w:rsidP="00E272EA">
      <w:p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This Job Description is to be performed in accordance with the provisions of the current support staff terms and conditions. The performance of these duties is under the reasonable direction of the Senior Leadership Team.</w:t>
      </w:r>
    </w:p>
    <w:p w14:paraId="55E8B61E" w14:textId="77777777" w:rsidR="00E272EA" w:rsidRPr="00E272EA" w:rsidRDefault="00E272EA" w:rsidP="00E272EA">
      <w:pPr>
        <w:spacing w:before="100" w:beforeAutospacing="1" w:after="100" w:afterAutospacing="1" w:line="240" w:lineRule="auto"/>
        <w:outlineLvl w:val="3"/>
        <w:rPr>
          <w:rFonts w:eastAsia="Times New Roman" w:cs="Tahoma"/>
          <w:b/>
          <w:bCs/>
          <w:sz w:val="22"/>
          <w:lang w:eastAsia="en-GB"/>
        </w:rPr>
      </w:pPr>
      <w:r w:rsidRPr="00E272EA">
        <w:rPr>
          <w:rFonts w:eastAsia="Times New Roman" w:cs="Tahoma"/>
          <w:b/>
          <w:bCs/>
          <w:sz w:val="22"/>
          <w:lang w:eastAsia="en-GB"/>
        </w:rPr>
        <w:t>Examinations Management</w:t>
      </w:r>
    </w:p>
    <w:p w14:paraId="5B9F7FBA" w14:textId="77777777" w:rsidR="00E272EA" w:rsidRPr="00E272EA" w:rsidRDefault="00E272EA" w:rsidP="00E272EA">
      <w:pPr>
        <w:numPr>
          <w:ilvl w:val="0"/>
          <w:numId w:val="25"/>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Set up and maintain the annual examinations calendar in line with internal and external deadlines.</w:t>
      </w:r>
    </w:p>
    <w:p w14:paraId="10F3F2D1" w14:textId="77777777" w:rsidR="00E272EA" w:rsidRPr="00E272EA" w:rsidRDefault="00E272EA" w:rsidP="00E272EA">
      <w:pPr>
        <w:numPr>
          <w:ilvl w:val="0"/>
          <w:numId w:val="25"/>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Plan, schedule and deliver the examinations cycle end-to-end, including mocks, external exams and results days.</w:t>
      </w:r>
    </w:p>
    <w:p w14:paraId="79B6F325" w14:textId="77777777" w:rsidR="00E272EA" w:rsidRPr="00E272EA" w:rsidRDefault="00E272EA" w:rsidP="00E272EA">
      <w:pPr>
        <w:numPr>
          <w:ilvl w:val="0"/>
          <w:numId w:val="25"/>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Administer entries and candidate data for GCSE, Functional Skills, BTECs and other accredited qualifications.</w:t>
      </w:r>
    </w:p>
    <w:p w14:paraId="7A9ACD9F" w14:textId="77777777" w:rsidR="00E272EA" w:rsidRPr="00E272EA" w:rsidRDefault="00E272EA" w:rsidP="00E272EA">
      <w:pPr>
        <w:numPr>
          <w:ilvl w:val="0"/>
          <w:numId w:val="25"/>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Ensure compliance with JCQ and awarding body requirements, maintaining accurate records and documentation.</w:t>
      </w:r>
    </w:p>
    <w:p w14:paraId="1FCF3E48" w14:textId="77777777" w:rsidR="00E272EA" w:rsidRPr="00E272EA" w:rsidRDefault="00E272EA" w:rsidP="00E272EA">
      <w:pPr>
        <w:spacing w:before="100" w:beforeAutospacing="1" w:after="100" w:afterAutospacing="1" w:line="240" w:lineRule="auto"/>
        <w:outlineLvl w:val="3"/>
        <w:rPr>
          <w:rFonts w:eastAsia="Times New Roman" w:cs="Tahoma"/>
          <w:b/>
          <w:bCs/>
          <w:sz w:val="22"/>
          <w:lang w:eastAsia="en-GB"/>
        </w:rPr>
      </w:pPr>
      <w:r w:rsidRPr="00E272EA">
        <w:rPr>
          <w:rFonts w:eastAsia="Times New Roman" w:cs="Tahoma"/>
          <w:b/>
          <w:bCs/>
          <w:sz w:val="22"/>
          <w:lang w:eastAsia="en-GB"/>
        </w:rPr>
        <w:t>Invigilation</w:t>
      </w:r>
    </w:p>
    <w:p w14:paraId="6C950AD3" w14:textId="77777777" w:rsidR="00E272EA" w:rsidRPr="00E272EA" w:rsidRDefault="00E272EA" w:rsidP="00E272EA">
      <w:pPr>
        <w:numPr>
          <w:ilvl w:val="0"/>
          <w:numId w:val="26"/>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Recruit, train and deploy exam invigilators in line with the academy’s staffing and safeguarding procedures.</w:t>
      </w:r>
    </w:p>
    <w:p w14:paraId="76DFE98E" w14:textId="29FD1CDB" w:rsidR="00E272EA" w:rsidRDefault="00E272EA" w:rsidP="00E272EA">
      <w:pPr>
        <w:numPr>
          <w:ilvl w:val="0"/>
          <w:numId w:val="26"/>
        </w:numPr>
        <w:spacing w:before="100" w:beforeAutospacing="1" w:after="100" w:afterAutospacing="1" w:line="240" w:lineRule="auto"/>
        <w:rPr>
          <w:rFonts w:eastAsia="Times New Roman" w:cs="Tahoma"/>
          <w:sz w:val="22"/>
          <w:lang w:eastAsia="en-GB"/>
        </w:rPr>
      </w:pPr>
      <w:r w:rsidRPr="00E272EA">
        <w:rPr>
          <w:rFonts w:eastAsia="Times New Roman" w:cs="Tahoma"/>
          <w:sz w:val="22"/>
          <w:lang w:eastAsia="en-GB"/>
        </w:rPr>
        <w:t>Supervise invigilators to ensure the smooth and secure conduct of examinations.</w:t>
      </w:r>
    </w:p>
    <w:p w14:paraId="7AC43E00" w14:textId="77777777" w:rsidR="00E272EA" w:rsidRPr="00E272EA" w:rsidRDefault="00E272EA" w:rsidP="00E272EA">
      <w:pPr>
        <w:spacing w:before="100" w:beforeAutospacing="1" w:after="100" w:afterAutospacing="1" w:line="240" w:lineRule="auto"/>
        <w:ind w:left="360"/>
        <w:rPr>
          <w:rFonts w:eastAsia="Times New Roman" w:cs="Tahoma"/>
          <w:sz w:val="22"/>
          <w:lang w:eastAsia="en-GB"/>
        </w:rPr>
      </w:pPr>
    </w:p>
    <w:p w14:paraId="54C8B6B9" w14:textId="2A7C1FE2" w:rsidR="00E272EA" w:rsidRPr="00E272EA" w:rsidRDefault="00E272EA" w:rsidP="00E272EA">
      <w:pPr>
        <w:spacing w:before="100" w:beforeAutospacing="1" w:after="100" w:afterAutospacing="1" w:line="240" w:lineRule="auto"/>
        <w:outlineLvl w:val="3"/>
        <w:rPr>
          <w:rFonts w:eastAsia="Times New Roman" w:cs="Tahoma"/>
          <w:b/>
          <w:bCs/>
          <w:sz w:val="22"/>
          <w:lang w:eastAsia="en-GB"/>
        </w:rPr>
      </w:pPr>
      <w:r w:rsidRPr="00E272EA">
        <w:rPr>
          <w:rFonts w:eastAsia="Times New Roman" w:cs="Tahoma"/>
          <w:b/>
          <w:bCs/>
          <w:sz w:val="22"/>
          <w:lang w:eastAsia="en-GB"/>
        </w:rPr>
        <w:lastRenderedPageBreak/>
        <w:t>Access Arrangements</w:t>
      </w:r>
    </w:p>
    <w:p w14:paraId="3316B0F9" w14:textId="77777777" w:rsidR="00E272EA" w:rsidRPr="00E272EA" w:rsidRDefault="00E272EA" w:rsidP="00E272EA">
      <w:pPr>
        <w:numPr>
          <w:ilvl w:val="0"/>
          <w:numId w:val="27"/>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Work with SENCO, Exams &amp; Accreditations Lead and relevant staff to ensure access arrangements and special considerations are applied appropriately.</w:t>
      </w:r>
    </w:p>
    <w:p w14:paraId="08900B2A" w14:textId="77777777" w:rsidR="00E272EA" w:rsidRPr="00E272EA" w:rsidRDefault="00E272EA" w:rsidP="00E272EA">
      <w:pPr>
        <w:numPr>
          <w:ilvl w:val="0"/>
          <w:numId w:val="27"/>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Support pupils with SEMH and additional needs to access exams safely and fairly.</w:t>
      </w:r>
    </w:p>
    <w:p w14:paraId="19090168" w14:textId="77777777" w:rsidR="00E272EA" w:rsidRPr="00E272EA" w:rsidRDefault="00E272EA" w:rsidP="00E272EA">
      <w:pPr>
        <w:spacing w:before="100" w:beforeAutospacing="1" w:after="100" w:afterAutospacing="1" w:line="240" w:lineRule="auto"/>
        <w:outlineLvl w:val="3"/>
        <w:rPr>
          <w:rFonts w:eastAsia="Times New Roman" w:cs="Tahoma"/>
          <w:b/>
          <w:bCs/>
          <w:sz w:val="22"/>
          <w:lang w:eastAsia="en-GB"/>
        </w:rPr>
      </w:pPr>
      <w:r w:rsidRPr="00E272EA">
        <w:rPr>
          <w:rFonts w:eastAsia="Times New Roman" w:cs="Tahoma"/>
          <w:b/>
          <w:bCs/>
          <w:sz w:val="22"/>
          <w:lang w:eastAsia="en-GB"/>
        </w:rPr>
        <w:t>Data and Communication</w:t>
      </w:r>
    </w:p>
    <w:p w14:paraId="0987C0A3" w14:textId="77777777" w:rsidR="00E272EA" w:rsidRPr="00E272EA" w:rsidRDefault="00E272EA" w:rsidP="00E272EA">
      <w:pPr>
        <w:numPr>
          <w:ilvl w:val="0"/>
          <w:numId w:val="28"/>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Liaise with awarding bodies, staff, parents and candidates regarding exam timetables, entries and results.</w:t>
      </w:r>
    </w:p>
    <w:p w14:paraId="37F5D620" w14:textId="77777777" w:rsidR="00E272EA" w:rsidRPr="00E272EA" w:rsidRDefault="00E272EA" w:rsidP="00E272EA">
      <w:pPr>
        <w:numPr>
          <w:ilvl w:val="0"/>
          <w:numId w:val="28"/>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Manage secure storage and confidentiality of examination papers and materials.</w:t>
      </w:r>
    </w:p>
    <w:p w14:paraId="6D246A35" w14:textId="77777777" w:rsidR="00E272EA" w:rsidRPr="00E272EA" w:rsidRDefault="00E272EA" w:rsidP="00E272EA">
      <w:pPr>
        <w:numPr>
          <w:ilvl w:val="0"/>
          <w:numId w:val="28"/>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Process exam results, distribute candidate statements of results and manage post-results services.</w:t>
      </w:r>
    </w:p>
    <w:p w14:paraId="290B5244" w14:textId="77777777" w:rsidR="00E272EA" w:rsidRPr="00E272EA" w:rsidRDefault="00E272EA" w:rsidP="00E272EA">
      <w:pPr>
        <w:spacing w:before="100" w:beforeAutospacing="1" w:after="100" w:afterAutospacing="1" w:line="240" w:lineRule="auto"/>
        <w:outlineLvl w:val="3"/>
        <w:rPr>
          <w:rFonts w:eastAsia="Times New Roman" w:cs="Tahoma"/>
          <w:b/>
          <w:bCs/>
          <w:sz w:val="22"/>
          <w:lang w:eastAsia="en-GB"/>
        </w:rPr>
      </w:pPr>
      <w:r w:rsidRPr="00E272EA">
        <w:rPr>
          <w:rFonts w:eastAsia="Times New Roman" w:cs="Tahoma"/>
          <w:b/>
          <w:bCs/>
          <w:sz w:val="22"/>
          <w:lang w:eastAsia="en-GB"/>
        </w:rPr>
        <w:t>General Duties</w:t>
      </w:r>
    </w:p>
    <w:p w14:paraId="325FBA78" w14:textId="77777777" w:rsidR="00E272EA" w:rsidRPr="00E272EA" w:rsidRDefault="00E272EA" w:rsidP="00E272EA">
      <w:pPr>
        <w:numPr>
          <w:ilvl w:val="0"/>
          <w:numId w:val="29"/>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Undertake training and CPD to remain up to date with JCQ regulations.</w:t>
      </w:r>
    </w:p>
    <w:p w14:paraId="1D81572D" w14:textId="77777777" w:rsidR="00E272EA" w:rsidRPr="00E272EA" w:rsidRDefault="00E272EA" w:rsidP="00E272EA">
      <w:pPr>
        <w:numPr>
          <w:ilvl w:val="0"/>
          <w:numId w:val="29"/>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Participate in academy self-evaluation and improvement planning where relevant to examinations.</w:t>
      </w:r>
    </w:p>
    <w:p w14:paraId="05FA1B10" w14:textId="77777777" w:rsidR="00E272EA" w:rsidRPr="00E272EA" w:rsidRDefault="00E272EA" w:rsidP="00E272EA">
      <w:pPr>
        <w:numPr>
          <w:ilvl w:val="0"/>
          <w:numId w:val="29"/>
        </w:numPr>
        <w:spacing w:before="100" w:beforeAutospacing="1" w:after="100" w:afterAutospacing="1" w:line="240" w:lineRule="auto"/>
        <w:jc w:val="both"/>
        <w:rPr>
          <w:rFonts w:eastAsia="Times New Roman" w:cs="Tahoma"/>
          <w:sz w:val="22"/>
          <w:lang w:eastAsia="en-GB"/>
        </w:rPr>
      </w:pPr>
      <w:proofErr w:type="gramStart"/>
      <w:r w:rsidRPr="00E272EA">
        <w:rPr>
          <w:rFonts w:eastAsia="Times New Roman" w:cs="Tahoma"/>
          <w:sz w:val="22"/>
          <w:lang w:eastAsia="en-GB"/>
        </w:rPr>
        <w:t>Promote safeguarding and the welfare of children and young people at all times</w:t>
      </w:r>
      <w:proofErr w:type="gramEnd"/>
      <w:r w:rsidRPr="00E272EA">
        <w:rPr>
          <w:rFonts w:eastAsia="Times New Roman" w:cs="Tahoma"/>
          <w:sz w:val="22"/>
          <w:lang w:eastAsia="en-GB"/>
        </w:rPr>
        <w:t>.</w:t>
      </w:r>
    </w:p>
    <w:p w14:paraId="66ECF3C0" w14:textId="77777777" w:rsidR="00E272EA" w:rsidRPr="00E272EA" w:rsidRDefault="00E272EA" w:rsidP="00E272EA">
      <w:pPr>
        <w:numPr>
          <w:ilvl w:val="0"/>
          <w:numId w:val="29"/>
        </w:numPr>
        <w:spacing w:before="100" w:beforeAutospacing="1" w:after="100" w:afterAutospacing="1" w:line="240" w:lineRule="auto"/>
        <w:jc w:val="both"/>
        <w:rPr>
          <w:rFonts w:eastAsia="Times New Roman" w:cs="Tahoma"/>
          <w:sz w:val="22"/>
          <w:lang w:eastAsia="en-GB"/>
        </w:rPr>
      </w:pPr>
      <w:r w:rsidRPr="00E272EA">
        <w:rPr>
          <w:rFonts w:eastAsia="Times New Roman" w:cs="Tahoma"/>
          <w:sz w:val="22"/>
          <w:lang w:eastAsia="en-GB"/>
        </w:rPr>
        <w:t>Comply with academy policies including safeguarding, health &amp; safety, equality and GDPR.</w:t>
      </w:r>
    </w:p>
    <w:p w14:paraId="2B4FFCC5" w14:textId="77777777" w:rsidR="00E272EA" w:rsidRPr="00E272EA" w:rsidRDefault="00E272EA" w:rsidP="00E272EA">
      <w:pPr>
        <w:jc w:val="both"/>
        <w:rPr>
          <w:rFonts w:cs="Tahoma"/>
          <w:sz w:val="22"/>
        </w:rPr>
      </w:pPr>
    </w:p>
    <w:p w14:paraId="13EAB503" w14:textId="77777777" w:rsidR="00E272EA" w:rsidRPr="00E272EA" w:rsidRDefault="00E272EA" w:rsidP="257329AB">
      <w:pPr>
        <w:rPr>
          <w:rFonts w:cs="Tahoma"/>
          <w:b/>
          <w:bCs/>
          <w:sz w:val="22"/>
        </w:rPr>
      </w:pPr>
    </w:p>
    <w:sectPr w:rsidR="00E272EA" w:rsidRPr="00E272EA" w:rsidSect="00CF7D72">
      <w:headerReference w:type="default" r:id="rId12"/>
      <w:footerReference w:type="default" r:id="rId13"/>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9745" w14:textId="77777777" w:rsidR="00C833A8" w:rsidRDefault="00C833A8" w:rsidP="004339D2">
      <w:pPr>
        <w:spacing w:after="0" w:line="240" w:lineRule="auto"/>
      </w:pPr>
      <w:r>
        <w:separator/>
      </w:r>
    </w:p>
  </w:endnote>
  <w:endnote w:type="continuationSeparator" w:id="0">
    <w:p w14:paraId="554974B6" w14:textId="77777777" w:rsidR="00C833A8" w:rsidRDefault="00C833A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1EA2" w14:textId="77777777" w:rsidR="00C833A8" w:rsidRDefault="00C833A8" w:rsidP="004339D2">
      <w:pPr>
        <w:spacing w:after="0" w:line="240" w:lineRule="auto"/>
      </w:pPr>
      <w:r>
        <w:separator/>
      </w:r>
    </w:p>
  </w:footnote>
  <w:footnote w:type="continuationSeparator" w:id="0">
    <w:p w14:paraId="204C3FA1" w14:textId="77777777" w:rsidR="00C833A8" w:rsidRDefault="00C833A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77777777" w:rsidR="000C2A65" w:rsidRDefault="00737DA5">
    <w:pPr>
      <w:pStyle w:val="Header"/>
    </w:pPr>
    <w:r>
      <w:t>INSERT SCHOOL LOGO HERE</w:t>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267F5"/>
    <w:multiLevelType w:val="multilevel"/>
    <w:tmpl w:val="FDA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002E6A"/>
    <w:multiLevelType w:val="multilevel"/>
    <w:tmpl w:val="AB0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32EFB"/>
    <w:multiLevelType w:val="multilevel"/>
    <w:tmpl w:val="31A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64CFE"/>
    <w:multiLevelType w:val="multilevel"/>
    <w:tmpl w:val="CEF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DF784F"/>
    <w:multiLevelType w:val="multilevel"/>
    <w:tmpl w:val="975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601D0"/>
    <w:multiLevelType w:val="multilevel"/>
    <w:tmpl w:val="53B2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81711864">
    <w:abstractNumId w:val="2"/>
  </w:num>
  <w:num w:numId="2" w16cid:durableId="1967153644">
    <w:abstractNumId w:val="19"/>
  </w:num>
  <w:num w:numId="3" w16cid:durableId="758479336">
    <w:abstractNumId w:val="0"/>
  </w:num>
  <w:num w:numId="4" w16cid:durableId="2137605469">
    <w:abstractNumId w:val="18"/>
  </w:num>
  <w:num w:numId="5" w16cid:durableId="1278217179">
    <w:abstractNumId w:val="24"/>
  </w:num>
  <w:num w:numId="6" w16cid:durableId="278880545">
    <w:abstractNumId w:val="5"/>
  </w:num>
  <w:num w:numId="7" w16cid:durableId="456220740">
    <w:abstractNumId w:val="13"/>
  </w:num>
  <w:num w:numId="8" w16cid:durableId="975571845">
    <w:abstractNumId w:val="23"/>
  </w:num>
  <w:num w:numId="9" w16cid:durableId="1628776026">
    <w:abstractNumId w:val="14"/>
  </w:num>
  <w:num w:numId="10" w16cid:durableId="197353284">
    <w:abstractNumId w:val="10"/>
  </w:num>
  <w:num w:numId="11" w16cid:durableId="1494174810">
    <w:abstractNumId w:val="11"/>
  </w:num>
  <w:num w:numId="12" w16cid:durableId="1203128323">
    <w:abstractNumId w:val="26"/>
  </w:num>
  <w:num w:numId="13" w16cid:durableId="1479300475">
    <w:abstractNumId w:val="4"/>
  </w:num>
  <w:num w:numId="14" w16cid:durableId="1782722546">
    <w:abstractNumId w:val="12"/>
  </w:num>
  <w:num w:numId="15" w16cid:durableId="1465659441">
    <w:abstractNumId w:val="7"/>
  </w:num>
  <w:num w:numId="16" w16cid:durableId="1638803996">
    <w:abstractNumId w:val="15"/>
  </w:num>
  <w:num w:numId="17" w16cid:durableId="1039429792">
    <w:abstractNumId w:val="27"/>
  </w:num>
  <w:num w:numId="18" w16cid:durableId="527526751">
    <w:abstractNumId w:val="6"/>
  </w:num>
  <w:num w:numId="19" w16cid:durableId="277218920">
    <w:abstractNumId w:val="22"/>
  </w:num>
  <w:num w:numId="20" w16cid:durableId="1925408569">
    <w:abstractNumId w:val="3"/>
  </w:num>
  <w:num w:numId="21" w16cid:durableId="751657247">
    <w:abstractNumId w:val="28"/>
  </w:num>
  <w:num w:numId="22" w16cid:durableId="518005890">
    <w:abstractNumId w:val="25"/>
  </w:num>
  <w:num w:numId="23" w16cid:durableId="1352074656">
    <w:abstractNumId w:val="8"/>
  </w:num>
  <w:num w:numId="24" w16cid:durableId="1533374183">
    <w:abstractNumId w:val="20"/>
  </w:num>
  <w:num w:numId="25" w16cid:durableId="1618217750">
    <w:abstractNumId w:val="17"/>
  </w:num>
  <w:num w:numId="26" w16cid:durableId="1157654290">
    <w:abstractNumId w:val="1"/>
  </w:num>
  <w:num w:numId="27" w16cid:durableId="797139238">
    <w:abstractNumId w:val="21"/>
  </w:num>
  <w:num w:numId="28" w16cid:durableId="1326519424">
    <w:abstractNumId w:val="16"/>
  </w:num>
  <w:num w:numId="29" w16cid:durableId="2029019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68DD"/>
    <w:rsid w:val="00027759"/>
    <w:rsid w:val="000348D6"/>
    <w:rsid w:val="0004050B"/>
    <w:rsid w:val="0006576C"/>
    <w:rsid w:val="00067ADE"/>
    <w:rsid w:val="000751ED"/>
    <w:rsid w:val="00081FCA"/>
    <w:rsid w:val="00097855"/>
    <w:rsid w:val="000A1D53"/>
    <w:rsid w:val="000B22B2"/>
    <w:rsid w:val="000B7144"/>
    <w:rsid w:val="000C0DD1"/>
    <w:rsid w:val="000C2A65"/>
    <w:rsid w:val="000D103D"/>
    <w:rsid w:val="000D7774"/>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A171E"/>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73FB"/>
    <w:rsid w:val="00391B38"/>
    <w:rsid w:val="003A12DF"/>
    <w:rsid w:val="003B02AA"/>
    <w:rsid w:val="003B4108"/>
    <w:rsid w:val="003B7E10"/>
    <w:rsid w:val="003D6092"/>
    <w:rsid w:val="00407D0F"/>
    <w:rsid w:val="0042269E"/>
    <w:rsid w:val="00431EDA"/>
    <w:rsid w:val="004339D2"/>
    <w:rsid w:val="00451E6C"/>
    <w:rsid w:val="00451FA5"/>
    <w:rsid w:val="004575F2"/>
    <w:rsid w:val="00460637"/>
    <w:rsid w:val="00463084"/>
    <w:rsid w:val="00472FDB"/>
    <w:rsid w:val="004752E7"/>
    <w:rsid w:val="00486385"/>
    <w:rsid w:val="004A0460"/>
    <w:rsid w:val="004A0CEB"/>
    <w:rsid w:val="004A390C"/>
    <w:rsid w:val="004A4002"/>
    <w:rsid w:val="004C37F7"/>
    <w:rsid w:val="004C5640"/>
    <w:rsid w:val="004C5CB7"/>
    <w:rsid w:val="004C7FFD"/>
    <w:rsid w:val="004D5D23"/>
    <w:rsid w:val="005176B7"/>
    <w:rsid w:val="00520D12"/>
    <w:rsid w:val="00531A38"/>
    <w:rsid w:val="00531B69"/>
    <w:rsid w:val="00535CB3"/>
    <w:rsid w:val="00540E76"/>
    <w:rsid w:val="00553610"/>
    <w:rsid w:val="005E0BEE"/>
    <w:rsid w:val="005F6DF8"/>
    <w:rsid w:val="00601C8B"/>
    <w:rsid w:val="00606AE3"/>
    <w:rsid w:val="006238A8"/>
    <w:rsid w:val="00625C06"/>
    <w:rsid w:val="0062676C"/>
    <w:rsid w:val="006420C0"/>
    <w:rsid w:val="006473AD"/>
    <w:rsid w:val="00652DD3"/>
    <w:rsid w:val="0066514C"/>
    <w:rsid w:val="00666344"/>
    <w:rsid w:val="00672661"/>
    <w:rsid w:val="00673CB7"/>
    <w:rsid w:val="00697414"/>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7F7A05"/>
    <w:rsid w:val="00810E92"/>
    <w:rsid w:val="00824EB0"/>
    <w:rsid w:val="00830689"/>
    <w:rsid w:val="00830B6E"/>
    <w:rsid w:val="00832B10"/>
    <w:rsid w:val="00833962"/>
    <w:rsid w:val="00840AAF"/>
    <w:rsid w:val="00853E38"/>
    <w:rsid w:val="00863259"/>
    <w:rsid w:val="00874E73"/>
    <w:rsid w:val="00887535"/>
    <w:rsid w:val="008B689B"/>
    <w:rsid w:val="008C0107"/>
    <w:rsid w:val="008C6F1C"/>
    <w:rsid w:val="008D377D"/>
    <w:rsid w:val="008D40B2"/>
    <w:rsid w:val="008E12F2"/>
    <w:rsid w:val="008E1F18"/>
    <w:rsid w:val="008E33DA"/>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1C1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33A8"/>
    <w:rsid w:val="00C86852"/>
    <w:rsid w:val="00C86F6C"/>
    <w:rsid w:val="00C947CC"/>
    <w:rsid w:val="00CA18BA"/>
    <w:rsid w:val="00CB1642"/>
    <w:rsid w:val="00CB1E53"/>
    <w:rsid w:val="00CE1DE3"/>
    <w:rsid w:val="00CE3406"/>
    <w:rsid w:val="00CF15CA"/>
    <w:rsid w:val="00CF7D72"/>
    <w:rsid w:val="00D11C19"/>
    <w:rsid w:val="00D24A8E"/>
    <w:rsid w:val="00D505B9"/>
    <w:rsid w:val="00D53A1D"/>
    <w:rsid w:val="00D5515E"/>
    <w:rsid w:val="00D60654"/>
    <w:rsid w:val="00D61099"/>
    <w:rsid w:val="00D62638"/>
    <w:rsid w:val="00D65C55"/>
    <w:rsid w:val="00D709D1"/>
    <w:rsid w:val="00D92A94"/>
    <w:rsid w:val="00DB0045"/>
    <w:rsid w:val="00DB3BB5"/>
    <w:rsid w:val="00DC7D28"/>
    <w:rsid w:val="00DD28AD"/>
    <w:rsid w:val="00DD3B84"/>
    <w:rsid w:val="00DF2157"/>
    <w:rsid w:val="00E0222E"/>
    <w:rsid w:val="00E0770F"/>
    <w:rsid w:val="00E17679"/>
    <w:rsid w:val="00E245F3"/>
    <w:rsid w:val="00E272EA"/>
    <w:rsid w:val="00E43BD3"/>
    <w:rsid w:val="00E56172"/>
    <w:rsid w:val="00E74A2B"/>
    <w:rsid w:val="00E81D24"/>
    <w:rsid w:val="00E85513"/>
    <w:rsid w:val="00E86FD5"/>
    <w:rsid w:val="00E919B7"/>
    <w:rsid w:val="00E95955"/>
    <w:rsid w:val="00E96D9B"/>
    <w:rsid w:val="00EB79D2"/>
    <w:rsid w:val="00ED41E7"/>
    <w:rsid w:val="00ED5CEF"/>
    <w:rsid w:val="00ED66FF"/>
    <w:rsid w:val="00EF7AD3"/>
    <w:rsid w:val="00F20B73"/>
    <w:rsid w:val="00F21ECB"/>
    <w:rsid w:val="00F46AE6"/>
    <w:rsid w:val="00F52A4E"/>
    <w:rsid w:val="00F65AC4"/>
    <w:rsid w:val="00F66561"/>
    <w:rsid w:val="00F9377E"/>
    <w:rsid w:val="00F944CC"/>
    <w:rsid w:val="00FA7DB0"/>
    <w:rsid w:val="00FD0994"/>
    <w:rsid w:val="00FD3675"/>
    <w:rsid w:val="00FD7BF4"/>
    <w:rsid w:val="00FE470C"/>
    <w:rsid w:val="00FE74BF"/>
    <w:rsid w:val="00FF1B8D"/>
    <w:rsid w:val="01548792"/>
    <w:rsid w:val="018C7656"/>
    <w:rsid w:val="02A9A7E2"/>
    <w:rsid w:val="0640B396"/>
    <w:rsid w:val="0D92828B"/>
    <w:rsid w:val="0FFD18FF"/>
    <w:rsid w:val="145ED11B"/>
    <w:rsid w:val="14A69FAC"/>
    <w:rsid w:val="1A989FCA"/>
    <w:rsid w:val="1CEB4B46"/>
    <w:rsid w:val="257329AB"/>
    <w:rsid w:val="25BF8316"/>
    <w:rsid w:val="268ABF11"/>
    <w:rsid w:val="2692AE96"/>
    <w:rsid w:val="276BD8A1"/>
    <w:rsid w:val="28F97E0C"/>
    <w:rsid w:val="30C164F9"/>
    <w:rsid w:val="30D4AEF9"/>
    <w:rsid w:val="329DFC45"/>
    <w:rsid w:val="32AE492E"/>
    <w:rsid w:val="3541908E"/>
    <w:rsid w:val="469BE2F5"/>
    <w:rsid w:val="49515B10"/>
    <w:rsid w:val="4AD9D9C2"/>
    <w:rsid w:val="4C61FECD"/>
    <w:rsid w:val="4E25BD93"/>
    <w:rsid w:val="517629EF"/>
    <w:rsid w:val="52A6A6E0"/>
    <w:rsid w:val="5437DAAC"/>
    <w:rsid w:val="545259EC"/>
    <w:rsid w:val="564B916A"/>
    <w:rsid w:val="5AD4AA90"/>
    <w:rsid w:val="5F9D10C1"/>
    <w:rsid w:val="6CB1CF45"/>
    <w:rsid w:val="6D723F1A"/>
    <w:rsid w:val="6EE80985"/>
    <w:rsid w:val="6F1A21A4"/>
    <w:rsid w:val="7A78BF30"/>
    <w:rsid w:val="7C5AA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0b10c1-1d78-4378-a046-992ed0e81011">
      <Terms xmlns="http://schemas.microsoft.com/office/infopath/2007/PartnerControls"/>
    </lcf76f155ced4ddcb4097134ff3c332f>
    <TaxCatchAll xmlns="65bd2cc6-a84b-450b-b38d-5ef3c4c5e6d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D87E48E5CCDF4C83A492CB1DF1F7E9" ma:contentTypeVersion="15" ma:contentTypeDescription="Create a new document." ma:contentTypeScope="" ma:versionID="29c433d19fe08ebe69774e69fc47553b">
  <xsd:schema xmlns:xsd="http://www.w3.org/2001/XMLSchema" xmlns:xs="http://www.w3.org/2001/XMLSchema" xmlns:p="http://schemas.microsoft.com/office/2006/metadata/properties" xmlns:ns2="e80b10c1-1d78-4378-a046-992ed0e81011" xmlns:ns3="65bd2cc6-a84b-450b-b38d-5ef3c4c5e6d4" targetNamespace="http://schemas.microsoft.com/office/2006/metadata/properties" ma:root="true" ma:fieldsID="d5ada41f2f5d071d8342fd0c6a9a6939" ns2:_="" ns3:_="">
    <xsd:import namespace="e80b10c1-1d78-4378-a046-992ed0e81011"/>
    <xsd:import namespace="65bd2cc6-a84b-450b-b38d-5ef3c4c5e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b10c1-1d78-4378-a046-992ed0e8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d2cc6-a84b-450b-b38d-5ef3c4c5e6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25e-e38f-4a6d-b823-aa3c92911198}" ma:internalName="TaxCatchAll" ma:showField="CatchAllData" ma:web="65bd2cc6-a84b-450b-b38d-5ef3c4c5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e80b10c1-1d78-4378-a046-992ed0e81011"/>
    <ds:schemaRef ds:uri="65bd2cc6-a84b-450b-b38d-5ef3c4c5e6d4"/>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A300FCB5-B463-4B4A-9DCC-65B4EC48D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b10c1-1d78-4378-a046-992ed0e81011"/>
    <ds:schemaRef ds:uri="65bd2cc6-a84b-450b-b38d-5ef3c4c5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v1.dotx</Template>
  <TotalTime>4</TotalTime>
  <Pages>2</Pages>
  <Words>310</Words>
  <Characters>1972</Characters>
  <Application>Microsoft Office Word</Application>
  <DocSecurity>0</DocSecurity>
  <Lines>46</Lines>
  <Paragraphs>35</Paragraphs>
  <ScaleCrop>false</ScaleCrop>
  <Company>Hewlett-Packard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Michelle Morgan (Endeavour Academy)</cp:lastModifiedBy>
  <cp:revision>3</cp:revision>
  <cp:lastPrinted>2021-06-03T08:15:00Z</cp:lastPrinted>
  <dcterms:created xsi:type="dcterms:W3CDTF">2025-10-03T06:46:00Z</dcterms:created>
  <dcterms:modified xsi:type="dcterms:W3CDTF">2025-10-03T06:50:00Z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0x01010027D87E48E5CCDF4C83A492CB1DF1F7E9</vt:lpwstr>
  </property>
  <property fmtid="{D5CDD505-2E9C-101B-9397-08002B2CF9AE}" pid="3" name="MediaServiceImageTags">
    <vt:lpwstr/>
  </property>
</Properties>
</file>