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1BD3" w14:textId="77777777" w:rsidR="0060436D" w:rsidRDefault="0060436D" w:rsidP="0060436D">
      <w:pPr>
        <w:jc w:val="both"/>
        <w:rPr>
          <w:rFonts w:cs="Tahoma"/>
          <w:b/>
          <w:sz w:val="20"/>
          <w:szCs w:val="20"/>
        </w:rPr>
      </w:pPr>
    </w:p>
    <w:p w14:paraId="315FF12D" w14:textId="4098A7B2" w:rsidR="0077643A" w:rsidRPr="00C44617" w:rsidRDefault="0000055A" w:rsidP="0060436D">
      <w:pPr>
        <w:jc w:val="both"/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Capital Projects and Building Surveyor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1A9DD724" w:rsidR="0077643A" w:rsidRDefault="00B35C6B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D92BD3">
        <w:rPr>
          <w:rFonts w:cs="Tahoma"/>
          <w:sz w:val="20"/>
          <w:szCs w:val="20"/>
        </w:rPr>
        <w:tab/>
      </w:r>
      <w:r w:rsidR="00D92BD3">
        <w:rPr>
          <w:rFonts w:cs="Tahoma"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37 hours NJC 36-39</w:t>
      </w:r>
      <w:r w:rsidR="003B0588">
        <w:rPr>
          <w:rFonts w:cs="Tahoma"/>
          <w:sz w:val="20"/>
          <w:szCs w:val="20"/>
        </w:rPr>
        <w:t xml:space="preserve"> -</w:t>
      </w:r>
      <w:r w:rsidR="0060436D">
        <w:rPr>
          <w:rFonts w:cs="Tahoma"/>
          <w:sz w:val="20"/>
          <w:szCs w:val="20"/>
        </w:rPr>
        <w:t xml:space="preserve"> £47,181 - £50,269</w:t>
      </w:r>
    </w:p>
    <w:p w14:paraId="0877653A" w14:textId="12040C4F" w:rsidR="00D92BD3" w:rsidRPr="00C44617" w:rsidRDefault="00D92BD3" w:rsidP="0060436D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(Inclusive of the provisional 3.2% cost of living pay award)</w:t>
      </w:r>
    </w:p>
    <w:p w14:paraId="40E4010B" w14:textId="5C3DBFBF" w:rsidR="0000055A" w:rsidRPr="00C44617" w:rsidRDefault="00B35C6B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Nexus Multi Academy Trust</w:t>
      </w:r>
    </w:p>
    <w:p w14:paraId="0608D280" w14:textId="47F1F16E" w:rsidR="0000055A" w:rsidRPr="00C44617" w:rsidRDefault="003B4108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Permanent, Full Time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27C7EA25" w:rsidR="006C6829" w:rsidRPr="00C44617" w:rsidRDefault="0000055A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15 July 2025</w:t>
      </w:r>
    </w:p>
    <w:p w14:paraId="1D88D9FD" w14:textId="3B6E5779" w:rsidR="0000055A" w:rsidRPr="00C44617" w:rsidRDefault="006C6829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16 July 2025</w:t>
      </w:r>
    </w:p>
    <w:p w14:paraId="4F5D1D92" w14:textId="131E821E" w:rsidR="00F9377E" w:rsidRPr="0060436D" w:rsidRDefault="0000055A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21 July 2025</w:t>
      </w:r>
    </w:p>
    <w:p w14:paraId="424456E9" w14:textId="77777777" w:rsidR="00FE470C" w:rsidRPr="00C44617" w:rsidRDefault="00FE470C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60436D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60436D">
      <w:pPr>
        <w:pStyle w:val="Default"/>
        <w:spacing w:after="21"/>
        <w:jc w:val="both"/>
        <w:rPr>
          <w:sz w:val="20"/>
          <w:szCs w:val="20"/>
        </w:rPr>
      </w:pPr>
    </w:p>
    <w:p w14:paraId="560F6FE7" w14:textId="03ED851B" w:rsidR="00553610" w:rsidRDefault="00672661" w:rsidP="0060436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60436D">
      <w:pPr>
        <w:pStyle w:val="Default"/>
        <w:spacing w:after="21"/>
        <w:jc w:val="both"/>
        <w:rPr>
          <w:sz w:val="20"/>
          <w:szCs w:val="20"/>
        </w:rPr>
      </w:pPr>
    </w:p>
    <w:p w14:paraId="14418295" w14:textId="77777777" w:rsidR="008C6F1C" w:rsidRPr="00C44617" w:rsidRDefault="008C6F1C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4A202073" w14:textId="644831E9" w:rsidR="00FE470C" w:rsidRPr="00C44617" w:rsidRDefault="00FE470C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70B0A792" w14:textId="1B893264" w:rsidR="0060436D" w:rsidRDefault="00ED41E7" w:rsidP="0060436D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>We are seeking to appoint a</w:t>
      </w:r>
      <w:r w:rsidR="0060436D">
        <w:rPr>
          <w:rFonts w:ascii="Tahoma" w:hAnsi="Tahoma" w:cs="Tahoma"/>
          <w:color w:val="000000"/>
          <w:sz w:val="20"/>
          <w:szCs w:val="20"/>
        </w:rPr>
        <w:t>n experienced and professionally qualified Capital Projects and Building Surveyor to lead the delivery of our estate improvement and capital development programmes.  This role offers an excellent opportunity to contribute to a significant and purposeful transformation of our school estate, with a focus on enhancing environments that enable high-quality teaching, learning and care.</w:t>
      </w:r>
    </w:p>
    <w:p w14:paraId="2088367B" w14:textId="1A5699DA" w:rsidR="0060436D" w:rsidRDefault="0060436D" w:rsidP="0060436D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60436D">
        <w:rPr>
          <w:rFonts w:ascii="Tahoma" w:hAnsi="Tahoma" w:cs="Tahoma"/>
          <w:color w:val="000000"/>
          <w:sz w:val="20"/>
          <w:szCs w:val="20"/>
        </w:rPr>
        <w:t>Working within the central Assets &amp; Health and Safety Team, and reporting to the Executive Director of Business Transformation, the postholder will provide expert surveying and project management oversight across a diverse portfolio. This will include the planning, feasibility and delivery of large-scale capital works, refurbishments, and site adaptations across the Trust.</w:t>
      </w:r>
    </w:p>
    <w:p w14:paraId="59678281" w14:textId="3E1D37AF" w:rsidR="00D11C19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60436D">
      <w:pPr>
        <w:pStyle w:val="Default"/>
        <w:jc w:val="both"/>
        <w:rPr>
          <w:b/>
          <w:sz w:val="20"/>
          <w:szCs w:val="20"/>
        </w:rPr>
      </w:pPr>
    </w:p>
    <w:p w14:paraId="7DED67C9" w14:textId="3291244C" w:rsidR="000751ED" w:rsidRDefault="009B246E" w:rsidP="0060436D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60436D">
      <w:pPr>
        <w:pStyle w:val="Default"/>
        <w:jc w:val="both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>An Induction package to help you settle in and approach your role with confidence and enthusiasm</w:t>
      </w:r>
    </w:p>
    <w:p w14:paraId="2E0F54F3" w14:textId="77777777" w:rsidR="0060436D" w:rsidRDefault="0060436D" w:rsidP="0060436D">
      <w:pPr>
        <w:spacing w:after="0" w:line="240" w:lineRule="auto"/>
        <w:ind w:left="720"/>
        <w:jc w:val="both"/>
        <w:rPr>
          <w:rFonts w:cs="Tahoma"/>
          <w:sz w:val="20"/>
          <w:szCs w:val="20"/>
        </w:rPr>
      </w:pPr>
    </w:p>
    <w:p w14:paraId="1FB58DE7" w14:textId="0F403A75" w:rsidR="00DB3BB5" w:rsidRPr="00C44617" w:rsidRDefault="00DB3BB5" w:rsidP="0060436D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60436D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0DD9EF3" w14:textId="77777777" w:rsidR="00E17679" w:rsidRDefault="00E17679" w:rsidP="0060436D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60436D">
      <w:pPr>
        <w:pStyle w:val="Default"/>
        <w:jc w:val="both"/>
        <w:rPr>
          <w:b/>
          <w:sz w:val="20"/>
          <w:szCs w:val="20"/>
        </w:rPr>
      </w:pPr>
    </w:p>
    <w:p w14:paraId="484D2FA7" w14:textId="6805FC58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1" w:history="1">
        <w:r w:rsidR="0060436D" w:rsidRPr="00FC1252">
          <w:rPr>
            <w:rStyle w:val="Hyperlink"/>
            <w:sz w:val="20"/>
            <w:szCs w:val="20"/>
          </w:rPr>
          <w:t>hr@nexusmat.org</w:t>
        </w:r>
      </w:hyperlink>
      <w:r w:rsidR="0060436D">
        <w:rPr>
          <w:sz w:val="20"/>
          <w:szCs w:val="20"/>
        </w:rPr>
        <w:t xml:space="preserve"> </w:t>
      </w: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60436D" w:rsidRPr="00FC1252">
          <w:rPr>
            <w:rStyle w:val="Hyperlink"/>
            <w:sz w:val="20"/>
            <w:szCs w:val="20"/>
          </w:rPr>
          <w:t>hr@nexusmat.org</w:t>
        </w:r>
      </w:hyperlink>
      <w:r w:rsidR="0060436D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60436D">
      <w:pPr>
        <w:pStyle w:val="Default"/>
        <w:jc w:val="both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60436D">
      <w:pPr>
        <w:pStyle w:val="Default"/>
        <w:jc w:val="both"/>
        <w:rPr>
          <w:sz w:val="20"/>
          <w:szCs w:val="20"/>
        </w:rPr>
      </w:pPr>
    </w:p>
    <w:p w14:paraId="36D6F74C" w14:textId="11059DF4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12D55993" w14:textId="77777777" w:rsidR="00D11C19" w:rsidRPr="00C44617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60436D">
      <w:pPr>
        <w:pStyle w:val="Default"/>
        <w:jc w:val="both"/>
        <w:rPr>
          <w:b/>
          <w:sz w:val="20"/>
          <w:szCs w:val="20"/>
        </w:rPr>
      </w:pPr>
    </w:p>
    <w:p w14:paraId="5451DD5F" w14:textId="222E7A9F" w:rsidR="009036E3" w:rsidRPr="00C44617" w:rsidRDefault="00D11C1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60436D">
        <w:rPr>
          <w:sz w:val="20"/>
          <w:szCs w:val="20"/>
        </w:rPr>
        <w:t xml:space="preserve">Lana Stoyles, Executive Director of Transformation </w:t>
      </w:r>
      <w:hyperlink r:id="rId13" w:history="1">
        <w:r w:rsidR="0060436D" w:rsidRPr="00FC1252">
          <w:rPr>
            <w:rStyle w:val="Hyperlink"/>
            <w:sz w:val="20"/>
            <w:szCs w:val="20"/>
          </w:rPr>
          <w:t>lstoyles@nexusmat.org</w:t>
        </w:r>
      </w:hyperlink>
      <w:r w:rsidR="0060436D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60436D">
      <w:pPr>
        <w:pStyle w:val="Default"/>
        <w:jc w:val="both"/>
        <w:rPr>
          <w:sz w:val="20"/>
          <w:szCs w:val="20"/>
        </w:rPr>
      </w:pPr>
    </w:p>
    <w:p w14:paraId="01D583AA" w14:textId="1FD5A61E" w:rsidR="00D505B9" w:rsidRPr="00C44617" w:rsidRDefault="00D505B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60436D" w:rsidRPr="0060436D">
          <w:rPr>
            <w:rStyle w:val="Hyperlink"/>
            <w:sz w:val="20"/>
            <w:szCs w:val="20"/>
          </w:rPr>
          <w:t>Nexus Multi Academy Trust | Learning together, to be the best we can be</w:t>
        </w:r>
      </w:hyperlink>
    </w:p>
    <w:p w14:paraId="7728B4F2" w14:textId="77777777" w:rsidR="00D11C19" w:rsidRPr="00C44617" w:rsidRDefault="00D11C19" w:rsidP="0060436D">
      <w:pPr>
        <w:pStyle w:val="Default"/>
        <w:jc w:val="both"/>
        <w:rPr>
          <w:sz w:val="20"/>
          <w:szCs w:val="20"/>
        </w:rPr>
      </w:pPr>
    </w:p>
    <w:p w14:paraId="6FB29DDA" w14:textId="64ABA759" w:rsidR="00D11C19" w:rsidRPr="00C44617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60436D">
      <w:pPr>
        <w:pStyle w:val="Default"/>
        <w:jc w:val="both"/>
        <w:rPr>
          <w:b/>
          <w:sz w:val="20"/>
          <w:szCs w:val="20"/>
        </w:rPr>
      </w:pPr>
    </w:p>
    <w:p w14:paraId="73615FA6" w14:textId="77777777" w:rsidR="00540E76" w:rsidRPr="00C44617" w:rsidRDefault="00540E76" w:rsidP="0060436D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5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60436D">
      <w:pPr>
        <w:jc w:val="both"/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60436D">
      <w:pPr>
        <w:pStyle w:val="Default"/>
        <w:jc w:val="both"/>
        <w:rPr>
          <w:sz w:val="20"/>
          <w:szCs w:val="20"/>
        </w:rPr>
      </w:pPr>
    </w:p>
    <w:p w14:paraId="381E133D" w14:textId="77777777" w:rsidR="00FE470C" w:rsidRPr="00C44617" w:rsidRDefault="00FE470C" w:rsidP="0060436D">
      <w:pPr>
        <w:jc w:val="both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27B2538B" w14:textId="77777777" w:rsidR="00FE470C" w:rsidRPr="00C44617" w:rsidRDefault="00FE470C" w:rsidP="0060436D">
      <w:pPr>
        <w:jc w:val="both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6323" w14:textId="77777777" w:rsidR="000E7E09" w:rsidRDefault="000E7E09" w:rsidP="004339D2">
      <w:pPr>
        <w:spacing w:after="0" w:line="240" w:lineRule="auto"/>
      </w:pPr>
      <w:r>
        <w:separator/>
      </w:r>
    </w:p>
  </w:endnote>
  <w:endnote w:type="continuationSeparator" w:id="0">
    <w:p w14:paraId="6F18C200" w14:textId="77777777" w:rsidR="000E7E09" w:rsidRDefault="000E7E09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4FB3" w14:textId="77777777" w:rsidR="000E7E09" w:rsidRDefault="000E7E09" w:rsidP="004339D2">
      <w:pPr>
        <w:spacing w:after="0" w:line="240" w:lineRule="auto"/>
      </w:pPr>
      <w:r>
        <w:separator/>
      </w:r>
    </w:p>
  </w:footnote>
  <w:footnote w:type="continuationSeparator" w:id="0">
    <w:p w14:paraId="2590530B" w14:textId="77777777" w:rsidR="000E7E09" w:rsidRDefault="000E7E09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4F8DFD18" w:rsidR="000C2A65" w:rsidRDefault="0060436D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559A33" wp14:editId="07111515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419225" cy="918845"/>
          <wp:effectExtent l="0" t="0" r="9525" b="0"/>
          <wp:wrapNone/>
          <wp:docPr id="6" name="Picture 6" descr="A close-up of wor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word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1615709D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874253">
    <w:abstractNumId w:val="1"/>
  </w:num>
  <w:num w:numId="2" w16cid:durableId="272790160">
    <w:abstractNumId w:val="15"/>
  </w:num>
  <w:num w:numId="3" w16cid:durableId="1512452949">
    <w:abstractNumId w:val="0"/>
  </w:num>
  <w:num w:numId="4" w16cid:durableId="291060519">
    <w:abstractNumId w:val="14"/>
  </w:num>
  <w:num w:numId="5" w16cid:durableId="225914692">
    <w:abstractNumId w:val="18"/>
  </w:num>
  <w:num w:numId="6" w16cid:durableId="825709654">
    <w:abstractNumId w:val="4"/>
  </w:num>
  <w:num w:numId="7" w16cid:durableId="653721827">
    <w:abstractNumId w:val="11"/>
  </w:num>
  <w:num w:numId="8" w16cid:durableId="440685401">
    <w:abstractNumId w:val="17"/>
  </w:num>
  <w:num w:numId="9" w16cid:durableId="2084326266">
    <w:abstractNumId w:val="12"/>
  </w:num>
  <w:num w:numId="10" w16cid:durableId="321280853">
    <w:abstractNumId w:val="8"/>
  </w:num>
  <w:num w:numId="11" w16cid:durableId="428426869">
    <w:abstractNumId w:val="9"/>
  </w:num>
  <w:num w:numId="12" w16cid:durableId="838930185">
    <w:abstractNumId w:val="20"/>
  </w:num>
  <w:num w:numId="13" w16cid:durableId="1535073999">
    <w:abstractNumId w:val="3"/>
  </w:num>
  <w:num w:numId="14" w16cid:durableId="691489834">
    <w:abstractNumId w:val="10"/>
  </w:num>
  <w:num w:numId="15" w16cid:durableId="1208028518">
    <w:abstractNumId w:val="6"/>
  </w:num>
  <w:num w:numId="16" w16cid:durableId="2018846762">
    <w:abstractNumId w:val="13"/>
  </w:num>
  <w:num w:numId="17" w16cid:durableId="2047102113">
    <w:abstractNumId w:val="21"/>
  </w:num>
  <w:num w:numId="18" w16cid:durableId="1792241298">
    <w:abstractNumId w:val="5"/>
  </w:num>
  <w:num w:numId="19" w16cid:durableId="986856534">
    <w:abstractNumId w:val="16"/>
  </w:num>
  <w:num w:numId="20" w16cid:durableId="201600563">
    <w:abstractNumId w:val="2"/>
  </w:num>
  <w:num w:numId="21" w16cid:durableId="1433281501">
    <w:abstractNumId w:val="22"/>
  </w:num>
  <w:num w:numId="22" w16cid:durableId="1410883530">
    <w:abstractNumId w:val="19"/>
  </w:num>
  <w:num w:numId="23" w16cid:durableId="1850102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E7E09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A1FD4"/>
    <w:rsid w:val="002C5853"/>
    <w:rsid w:val="002E1D36"/>
    <w:rsid w:val="002E3AC9"/>
    <w:rsid w:val="002F6065"/>
    <w:rsid w:val="003028B8"/>
    <w:rsid w:val="00322559"/>
    <w:rsid w:val="00323475"/>
    <w:rsid w:val="00335668"/>
    <w:rsid w:val="00340C31"/>
    <w:rsid w:val="00342968"/>
    <w:rsid w:val="00342F7C"/>
    <w:rsid w:val="003445E8"/>
    <w:rsid w:val="0034547B"/>
    <w:rsid w:val="00347C76"/>
    <w:rsid w:val="00355718"/>
    <w:rsid w:val="003642D8"/>
    <w:rsid w:val="00391B38"/>
    <w:rsid w:val="003A12DF"/>
    <w:rsid w:val="003B02AA"/>
    <w:rsid w:val="003B0588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A5C5F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E13C0"/>
    <w:rsid w:val="005F6DF8"/>
    <w:rsid w:val="00601C8B"/>
    <w:rsid w:val="0060436D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8F63AC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D4FA5"/>
    <w:rsid w:val="00BE4546"/>
    <w:rsid w:val="00BF5A50"/>
    <w:rsid w:val="00BF77CC"/>
    <w:rsid w:val="00C016F7"/>
    <w:rsid w:val="00C16C62"/>
    <w:rsid w:val="00C20F14"/>
    <w:rsid w:val="00C25CA3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92BD3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4810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stoyles@nexusm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nexusma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nexusma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disclosure-barring-service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xusma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27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7</cp:revision>
  <cp:lastPrinted>2021-06-03T08:15:00Z</cp:lastPrinted>
  <dcterms:created xsi:type="dcterms:W3CDTF">2025-01-08T13:11:00Z</dcterms:created>
  <dcterms:modified xsi:type="dcterms:W3CDTF">2025-06-25T10:05:00Z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